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5C" w:rsidRDefault="007B475C" w:rsidP="004C6BB5">
      <w:pPr>
        <w:pStyle w:val="BodyText"/>
        <w:rPr>
          <w:sz w:val="1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752FC89D" wp14:editId="453033BC">
            <wp:extent cx="7359650" cy="955675"/>
            <wp:effectExtent l="0" t="0" r="0" b="0"/>
            <wp:docPr id="10" name="Picture 10" descr="\\omicswb-0252\Pallab Temp Share\santosh\World Summit 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omicswb-0252\Pallab Temp Share\santosh\World Summit o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475C" w:rsidRDefault="007B475C" w:rsidP="004C6BB5">
      <w:pPr>
        <w:pStyle w:val="BodyText"/>
        <w:rPr>
          <w:sz w:val="10"/>
        </w:rPr>
      </w:pPr>
    </w:p>
    <w:p w:rsidR="007B475C" w:rsidRDefault="007B475C" w:rsidP="004C6BB5">
      <w:pPr>
        <w:pStyle w:val="BodyText"/>
        <w:rPr>
          <w:sz w:val="10"/>
        </w:rPr>
      </w:pPr>
    </w:p>
    <w:p w:rsidR="008C3ACE" w:rsidRPr="007B475C" w:rsidRDefault="00B5063E" w:rsidP="007B475C">
      <w:pPr>
        <w:pStyle w:val="Heading1"/>
        <w:ind w:left="0" w:right="1062"/>
        <w:jc w:val="center"/>
        <w:rPr>
          <w:u w:val="single"/>
        </w:rPr>
      </w:pPr>
      <w:r w:rsidRPr="007B475C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7B475C">
          <w:type w:val="continuous"/>
          <w:pgSz w:w="11910" w:h="16840"/>
          <w:pgMar w:top="284" w:right="180" w:bottom="280" w:left="140" w:header="720" w:footer="720" w:gutter="0"/>
          <w:cols w:space="720"/>
        </w:sectPr>
      </w:pPr>
    </w:p>
    <w:p w:rsidR="008C3ACE" w:rsidRPr="00A26704" w:rsidRDefault="00B5063E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  <w:r w:rsidRPr="00A2670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>2010. Molecular mechanism of salt tolerance for genetic diversity analysed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 w:rsidP="00B5063E">
      <w:pPr>
        <w:rPr>
          <w:color w:val="333333"/>
          <w:sz w:val="18"/>
          <w:szCs w:val="18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B4A4E5D" wp14:editId="3CACEEB2">
                <wp:simplePos x="0" y="0"/>
                <wp:positionH relativeFrom="column">
                  <wp:posOffset>88265</wp:posOffset>
                </wp:positionH>
                <wp:positionV relativeFrom="paragraph">
                  <wp:posOffset>108585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.95pt;margin-top:8.55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peS5+98AAAAJ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7B475C" w:rsidRDefault="007B475C" w:rsidP="00B5063E">
      <w:pPr>
        <w:rPr>
          <w:color w:val="333333"/>
          <w:sz w:val="18"/>
          <w:szCs w:val="18"/>
        </w:rPr>
      </w:pPr>
    </w:p>
    <w:p w:rsidR="00935715" w:rsidRPr="007B475C" w:rsidRDefault="00C72A0A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  <w:lang w:val="en-IN" w:eastAsia="en-IN"/>
        </w:rPr>
        <w:drawing>
          <wp:inline distT="0" distB="0" distL="0" distR="0">
            <wp:extent cx="7359650" cy="956274"/>
            <wp:effectExtent l="0" t="0" r="0" b="0"/>
            <wp:docPr id="1" name="Picture 1" descr="D:\Plastic Engineering 2019\Plastic Engineering 2019\plastic 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lastic Engineering 2019\Plastic Engineering 2019\plastic footer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0" cy="956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5715" w:rsidRPr="007B475C" w:rsidSect="007B475C">
      <w:type w:val="continuous"/>
      <w:pgSz w:w="11910" w:h="16840"/>
      <w:pgMar w:top="600" w:right="18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3091D"/>
    <w:rsid w:val="0022441A"/>
    <w:rsid w:val="004C6BB5"/>
    <w:rsid w:val="0058095B"/>
    <w:rsid w:val="00623973"/>
    <w:rsid w:val="007B475C"/>
    <w:rsid w:val="008C3ACE"/>
    <w:rsid w:val="00935715"/>
    <w:rsid w:val="009D7910"/>
    <w:rsid w:val="009F3FAE"/>
    <w:rsid w:val="00A26704"/>
    <w:rsid w:val="00B5063E"/>
    <w:rsid w:val="00C72A0A"/>
    <w:rsid w:val="00E3650A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Respiratory Disease Minl</cp:lastModifiedBy>
  <cp:revision>4</cp:revision>
  <dcterms:created xsi:type="dcterms:W3CDTF">2018-09-18T06:53:00Z</dcterms:created>
  <dcterms:modified xsi:type="dcterms:W3CDTF">2019-05-03T13:02:00Z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