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9EC13" w14:textId="05BBE354" w:rsidR="0053690B" w:rsidRPr="00C76768" w:rsidRDefault="00015A35" w:rsidP="004D7FED">
      <w:pPr>
        <w:spacing w:line="276" w:lineRule="auto"/>
        <w:jc w:val="both"/>
        <w:rPr>
          <w:rFonts w:ascii="Times New Roman" w:hAnsi="Times New Roman" w:cs="Times New Roman"/>
          <w:sz w:val="22"/>
          <w:szCs w:val="22"/>
          <w:u w:val="single"/>
          <w:lang w:val="en-US"/>
        </w:rPr>
      </w:pPr>
      <w:r w:rsidRPr="00C76768">
        <w:rPr>
          <w:rFonts w:ascii="Times New Roman" w:hAnsi="Times New Roman" w:cs="Times New Roman"/>
          <w:b/>
          <w:bCs/>
          <w:sz w:val="22"/>
          <w:szCs w:val="22"/>
          <w:u w:val="single"/>
          <w:lang w:val="en-US"/>
        </w:rPr>
        <w:t>BLOOD, BLISTERS AND BREATHLESSNESS: AN ACUTE CASE OF METHOTREXATE TOXICITY</w:t>
      </w:r>
      <w:r w:rsidRPr="00C76768">
        <w:rPr>
          <w:rFonts w:ascii="Times New Roman" w:hAnsi="Times New Roman" w:cs="Times New Roman"/>
          <w:sz w:val="22"/>
          <w:szCs w:val="22"/>
          <w:u w:val="single"/>
          <w:lang w:val="en-US"/>
        </w:rPr>
        <w:t xml:space="preserve"> </w:t>
      </w:r>
    </w:p>
    <w:p w14:paraId="225A4402" w14:textId="7BEFC26F" w:rsidR="005763EE" w:rsidRPr="00C76768" w:rsidRDefault="005763EE" w:rsidP="004D7FED">
      <w:pPr>
        <w:spacing w:line="276" w:lineRule="auto"/>
        <w:jc w:val="both"/>
        <w:rPr>
          <w:rFonts w:ascii="Times New Roman" w:hAnsi="Times New Roman" w:cs="Times New Roman"/>
          <w:sz w:val="22"/>
          <w:szCs w:val="22"/>
          <w:lang w:val="en-US"/>
        </w:rPr>
      </w:pPr>
    </w:p>
    <w:p w14:paraId="380327FE" w14:textId="08B1A966" w:rsidR="005763EE" w:rsidRPr="00C76768" w:rsidRDefault="005763EE" w:rsidP="004D7FED">
      <w:pPr>
        <w:spacing w:line="276" w:lineRule="auto"/>
        <w:jc w:val="both"/>
        <w:rPr>
          <w:rFonts w:ascii="Times New Roman" w:hAnsi="Times New Roman" w:cs="Times New Roman"/>
          <w:sz w:val="22"/>
          <w:szCs w:val="22"/>
          <w:lang w:val="en-US"/>
        </w:rPr>
      </w:pPr>
      <w:r w:rsidRPr="00C76768">
        <w:rPr>
          <w:rFonts w:ascii="Times New Roman" w:hAnsi="Times New Roman" w:cs="Times New Roman"/>
          <w:sz w:val="22"/>
          <w:szCs w:val="22"/>
          <w:lang w:val="en-US"/>
        </w:rPr>
        <w:t>Tusharindra Lal</w:t>
      </w:r>
      <w:r w:rsidRPr="00C76768">
        <w:rPr>
          <w:rFonts w:ascii="Times New Roman" w:hAnsi="Times New Roman" w:cs="Times New Roman"/>
          <w:sz w:val="22"/>
          <w:szCs w:val="22"/>
          <w:vertAlign w:val="superscript"/>
          <w:lang w:val="en-US"/>
        </w:rPr>
        <w:t>1</w:t>
      </w:r>
      <w:r w:rsidRPr="00C76768">
        <w:rPr>
          <w:rFonts w:ascii="Times New Roman" w:hAnsi="Times New Roman" w:cs="Times New Roman"/>
          <w:sz w:val="22"/>
          <w:szCs w:val="22"/>
          <w:lang w:val="en-US"/>
        </w:rPr>
        <w:t>, Dr. Akilan</w:t>
      </w:r>
      <w:r w:rsidR="00015A35" w:rsidRPr="00C76768">
        <w:rPr>
          <w:rFonts w:ascii="Times New Roman" w:hAnsi="Times New Roman" w:cs="Times New Roman"/>
          <w:sz w:val="22"/>
          <w:szCs w:val="22"/>
          <w:lang w:val="en-US"/>
        </w:rPr>
        <w:t xml:space="preserve"> Elangovan</w:t>
      </w:r>
      <w:r w:rsidRPr="00C76768">
        <w:rPr>
          <w:rFonts w:ascii="Times New Roman" w:hAnsi="Times New Roman" w:cs="Times New Roman"/>
          <w:sz w:val="22"/>
          <w:szCs w:val="22"/>
          <w:vertAlign w:val="superscript"/>
          <w:lang w:val="en-US"/>
        </w:rPr>
        <w:t>2</w:t>
      </w:r>
      <w:r w:rsidRPr="00C76768">
        <w:rPr>
          <w:rFonts w:ascii="Times New Roman" w:hAnsi="Times New Roman" w:cs="Times New Roman"/>
          <w:sz w:val="22"/>
          <w:szCs w:val="22"/>
          <w:lang w:val="en-US"/>
        </w:rPr>
        <w:t>, Prof. T.V. Ramakrishnan</w:t>
      </w:r>
      <w:r w:rsidRPr="00C76768">
        <w:rPr>
          <w:rFonts w:ascii="Times New Roman" w:hAnsi="Times New Roman" w:cs="Times New Roman"/>
          <w:sz w:val="22"/>
          <w:szCs w:val="22"/>
          <w:vertAlign w:val="superscript"/>
          <w:lang w:val="en-US"/>
        </w:rPr>
        <w:t>3</w:t>
      </w:r>
      <w:r w:rsidRPr="00C76768">
        <w:rPr>
          <w:rFonts w:ascii="Times New Roman" w:hAnsi="Times New Roman" w:cs="Times New Roman"/>
          <w:sz w:val="22"/>
          <w:szCs w:val="22"/>
          <w:lang w:val="en-US"/>
        </w:rPr>
        <w:t xml:space="preserve"> </w:t>
      </w:r>
    </w:p>
    <w:p w14:paraId="6BCB288F" w14:textId="77777777" w:rsidR="005763EE" w:rsidRPr="00C76768" w:rsidRDefault="005763EE" w:rsidP="004D7FED">
      <w:pPr>
        <w:spacing w:line="276" w:lineRule="auto"/>
        <w:jc w:val="both"/>
        <w:rPr>
          <w:rFonts w:ascii="Times New Roman" w:hAnsi="Times New Roman" w:cs="Times New Roman"/>
          <w:sz w:val="22"/>
          <w:szCs w:val="22"/>
          <w:lang w:val="en-US"/>
        </w:rPr>
      </w:pPr>
    </w:p>
    <w:p w14:paraId="1F9F42B5" w14:textId="3BCEEF66" w:rsidR="00C76768" w:rsidRPr="00C76768" w:rsidRDefault="005763EE" w:rsidP="004D7FED">
      <w:pPr>
        <w:spacing w:line="276" w:lineRule="auto"/>
        <w:jc w:val="both"/>
        <w:rPr>
          <w:rFonts w:ascii="Times New Roman" w:hAnsi="Times New Roman" w:cs="Times New Roman"/>
          <w:sz w:val="22"/>
          <w:szCs w:val="22"/>
          <w:lang w:val="en-US"/>
        </w:rPr>
      </w:pPr>
      <w:r w:rsidRPr="00C76768">
        <w:rPr>
          <w:rFonts w:ascii="Times New Roman" w:hAnsi="Times New Roman" w:cs="Times New Roman"/>
          <w:sz w:val="22"/>
          <w:szCs w:val="22"/>
          <w:lang w:val="en-US"/>
        </w:rPr>
        <w:t>Department of Emergency Medicine, Sri Ramachandra Institute of Higher Education and Research, Chennai, India</w:t>
      </w:r>
    </w:p>
    <w:p w14:paraId="1003816B" w14:textId="77777777" w:rsidR="005763EE" w:rsidRPr="00C76768" w:rsidRDefault="005763EE" w:rsidP="004D7FED">
      <w:pPr>
        <w:spacing w:line="276" w:lineRule="auto"/>
        <w:rPr>
          <w:rFonts w:ascii="Times New Roman" w:hAnsi="Times New Roman" w:cs="Times New Roman"/>
          <w:b/>
          <w:bCs/>
          <w:sz w:val="22"/>
          <w:szCs w:val="22"/>
          <w:u w:val="single"/>
          <w:lang w:val="en-US"/>
        </w:rPr>
      </w:pPr>
    </w:p>
    <w:p w14:paraId="0BA4445D" w14:textId="37DF63C6" w:rsidR="005763EE" w:rsidRPr="004D7FED" w:rsidRDefault="005763EE" w:rsidP="004D7FED">
      <w:pPr>
        <w:spacing w:line="276" w:lineRule="auto"/>
        <w:rPr>
          <w:rFonts w:ascii="Times New Roman" w:hAnsi="Times New Roman" w:cs="Times New Roman"/>
          <w:sz w:val="22"/>
          <w:szCs w:val="22"/>
          <w:u w:val="single"/>
          <w:lang w:val="en-US"/>
        </w:rPr>
      </w:pPr>
      <w:r w:rsidRPr="004D7FED">
        <w:rPr>
          <w:rFonts w:ascii="Times New Roman" w:hAnsi="Times New Roman" w:cs="Times New Roman"/>
          <w:sz w:val="22"/>
          <w:szCs w:val="22"/>
          <w:u w:val="single"/>
          <w:lang w:val="en-US"/>
        </w:rPr>
        <w:t>ABSTRACT</w:t>
      </w:r>
    </w:p>
    <w:p w14:paraId="0580254F" w14:textId="77777777" w:rsidR="005763EE" w:rsidRPr="00C76768" w:rsidRDefault="005763EE" w:rsidP="004D7FED">
      <w:pPr>
        <w:spacing w:line="276" w:lineRule="auto"/>
        <w:jc w:val="both"/>
        <w:rPr>
          <w:rFonts w:ascii="Times New Roman" w:hAnsi="Times New Roman" w:cs="Times New Roman"/>
          <w:sz w:val="22"/>
          <w:szCs w:val="22"/>
          <w:lang w:val="en-US"/>
        </w:rPr>
      </w:pPr>
    </w:p>
    <w:p w14:paraId="604D2556" w14:textId="53090417" w:rsidR="00D003BE" w:rsidRPr="00C76768" w:rsidRDefault="00D003BE" w:rsidP="004D7FED">
      <w:pPr>
        <w:spacing w:line="276" w:lineRule="auto"/>
        <w:jc w:val="both"/>
        <w:rPr>
          <w:rFonts w:ascii="Times New Roman" w:hAnsi="Times New Roman" w:cs="Times New Roman"/>
          <w:sz w:val="22"/>
          <w:szCs w:val="22"/>
          <w:lang w:val="en-US"/>
        </w:rPr>
      </w:pPr>
      <w:r w:rsidRPr="00C76768">
        <w:rPr>
          <w:rFonts w:ascii="Times New Roman" w:hAnsi="Times New Roman" w:cs="Times New Roman"/>
          <w:sz w:val="22"/>
          <w:szCs w:val="22"/>
          <w:lang w:val="en-US"/>
        </w:rPr>
        <w:t>Methotrexate (MTX) is an anti</w:t>
      </w:r>
      <w:r w:rsidR="002A2AEC" w:rsidRPr="00C76768">
        <w:rPr>
          <w:rFonts w:ascii="Times New Roman" w:hAnsi="Times New Roman" w:cs="Times New Roman"/>
          <w:sz w:val="22"/>
          <w:szCs w:val="22"/>
          <w:lang w:val="en-US"/>
        </w:rPr>
        <w:t>-folate drug</w:t>
      </w:r>
      <w:r w:rsidRPr="00C76768">
        <w:rPr>
          <w:rFonts w:ascii="Times New Roman" w:hAnsi="Times New Roman" w:cs="Times New Roman"/>
          <w:sz w:val="22"/>
          <w:szCs w:val="22"/>
          <w:lang w:val="en-US"/>
        </w:rPr>
        <w:t xml:space="preserve"> which is used in the treatment of various inflammatory </w:t>
      </w:r>
      <w:r w:rsidR="002A2AEC" w:rsidRPr="00C76768">
        <w:rPr>
          <w:rFonts w:ascii="Times New Roman" w:hAnsi="Times New Roman" w:cs="Times New Roman"/>
          <w:sz w:val="22"/>
          <w:szCs w:val="22"/>
          <w:lang w:val="en-US"/>
        </w:rPr>
        <w:t xml:space="preserve">and malignant conditions </w:t>
      </w:r>
      <w:r w:rsidRPr="00C76768">
        <w:rPr>
          <w:rFonts w:ascii="Times New Roman" w:hAnsi="Times New Roman" w:cs="Times New Roman"/>
          <w:sz w:val="22"/>
          <w:szCs w:val="22"/>
          <w:lang w:val="en-US"/>
        </w:rPr>
        <w:t>due to its efficacy and safe therapeutic utilization. However, it has the potential to cause serious, life threatening complications.</w:t>
      </w:r>
      <w:r w:rsidR="002A2AEC" w:rsidRPr="00C76768">
        <w:rPr>
          <w:rFonts w:ascii="Times New Roman" w:hAnsi="Times New Roman" w:cs="Times New Roman"/>
          <w:sz w:val="22"/>
          <w:szCs w:val="22"/>
          <w:lang w:val="en-US"/>
        </w:rPr>
        <w:t xml:space="preserve"> </w:t>
      </w:r>
      <w:r w:rsidR="002A2AEC" w:rsidRPr="00C76768">
        <w:rPr>
          <w:rFonts w:ascii="Times New Roman" w:hAnsi="Times New Roman" w:cs="Times New Roman"/>
          <w:sz w:val="22"/>
          <w:szCs w:val="22"/>
          <w:lang w:val="en-US"/>
        </w:rPr>
        <w:t xml:space="preserve">[1] </w:t>
      </w:r>
      <w:r w:rsidRPr="00C76768">
        <w:rPr>
          <w:rFonts w:ascii="Times New Roman" w:hAnsi="Times New Roman" w:cs="Times New Roman"/>
          <w:sz w:val="22"/>
          <w:szCs w:val="22"/>
          <w:lang w:val="en-US"/>
        </w:rPr>
        <w:t xml:space="preserve"> </w:t>
      </w:r>
    </w:p>
    <w:p w14:paraId="3E930018" w14:textId="77777777" w:rsidR="005763EE" w:rsidRPr="00C76768" w:rsidRDefault="005763EE" w:rsidP="004D7FED">
      <w:pPr>
        <w:spacing w:line="276" w:lineRule="auto"/>
        <w:jc w:val="both"/>
        <w:rPr>
          <w:rFonts w:ascii="Times New Roman" w:hAnsi="Times New Roman" w:cs="Times New Roman"/>
          <w:sz w:val="22"/>
          <w:szCs w:val="22"/>
          <w:lang w:val="en-US"/>
        </w:rPr>
      </w:pPr>
    </w:p>
    <w:p w14:paraId="75B8DAFD" w14:textId="4EE31F80" w:rsidR="00D003BE" w:rsidRPr="00C76768" w:rsidRDefault="00D003BE" w:rsidP="004D7FED">
      <w:pPr>
        <w:spacing w:line="276" w:lineRule="auto"/>
        <w:jc w:val="both"/>
        <w:rPr>
          <w:rFonts w:ascii="Times New Roman" w:hAnsi="Times New Roman" w:cs="Times New Roman"/>
          <w:sz w:val="22"/>
          <w:szCs w:val="22"/>
          <w:lang w:val="en-US"/>
        </w:rPr>
      </w:pPr>
      <w:r w:rsidRPr="00C76768">
        <w:rPr>
          <w:rFonts w:ascii="Times New Roman" w:hAnsi="Times New Roman" w:cs="Times New Roman"/>
          <w:sz w:val="22"/>
          <w:szCs w:val="22"/>
          <w:lang w:val="en-US"/>
        </w:rPr>
        <w:t xml:space="preserve">A 50-year-old female presented to the </w:t>
      </w:r>
      <w:r w:rsidR="004D7FED">
        <w:rPr>
          <w:rFonts w:ascii="Times New Roman" w:hAnsi="Times New Roman" w:cs="Times New Roman"/>
          <w:sz w:val="22"/>
          <w:szCs w:val="22"/>
          <w:lang w:val="en-US"/>
        </w:rPr>
        <w:t>ER</w:t>
      </w:r>
      <w:r w:rsidRPr="00C76768">
        <w:rPr>
          <w:rFonts w:ascii="Times New Roman" w:hAnsi="Times New Roman" w:cs="Times New Roman"/>
          <w:sz w:val="22"/>
          <w:szCs w:val="22"/>
          <w:lang w:val="en-US"/>
        </w:rPr>
        <w:t xml:space="preserve"> with a history of fever for the past </w:t>
      </w:r>
      <w:r w:rsidR="004D7FED">
        <w:rPr>
          <w:rFonts w:ascii="Times New Roman" w:hAnsi="Times New Roman" w:cs="Times New Roman"/>
          <w:sz w:val="22"/>
          <w:szCs w:val="22"/>
          <w:lang w:val="en-US"/>
        </w:rPr>
        <w:t>five</w:t>
      </w:r>
      <w:r w:rsidRPr="00C76768">
        <w:rPr>
          <w:rFonts w:ascii="Times New Roman" w:hAnsi="Times New Roman" w:cs="Times New Roman"/>
          <w:sz w:val="22"/>
          <w:szCs w:val="22"/>
          <w:lang w:val="en-US"/>
        </w:rPr>
        <w:t xml:space="preserve"> days and bruises, blisters and </w:t>
      </w:r>
      <w:r w:rsidR="004D7FED">
        <w:rPr>
          <w:rFonts w:ascii="Times New Roman" w:hAnsi="Times New Roman" w:cs="Times New Roman"/>
          <w:sz w:val="22"/>
          <w:szCs w:val="22"/>
          <w:lang w:val="en-US"/>
        </w:rPr>
        <w:t>oral bleeding</w:t>
      </w:r>
      <w:r w:rsidRPr="00C76768">
        <w:rPr>
          <w:rFonts w:ascii="Times New Roman" w:hAnsi="Times New Roman" w:cs="Times New Roman"/>
          <w:sz w:val="22"/>
          <w:szCs w:val="22"/>
          <w:lang w:val="en-US"/>
        </w:rPr>
        <w:t xml:space="preserve"> for the </w:t>
      </w:r>
      <w:r w:rsidR="004D7FED">
        <w:rPr>
          <w:rFonts w:ascii="Times New Roman" w:hAnsi="Times New Roman" w:cs="Times New Roman"/>
          <w:sz w:val="22"/>
          <w:szCs w:val="22"/>
          <w:lang w:val="en-US"/>
        </w:rPr>
        <w:t>past three</w:t>
      </w:r>
      <w:r w:rsidRPr="00C76768">
        <w:rPr>
          <w:rFonts w:ascii="Times New Roman" w:hAnsi="Times New Roman" w:cs="Times New Roman"/>
          <w:sz w:val="22"/>
          <w:szCs w:val="22"/>
          <w:lang w:val="en-US"/>
        </w:rPr>
        <w:t xml:space="preserve"> days. She also had difficulty in breathing for the past day. On arrival, the carotid pulsation was absent and the cardiac monitor showed pulseless electrical activity (PEA) or cardiac arrest. As per the ACLS protocol, cardio-pulmonary resuscitation (CPR) was initiated and the patient was subsequently revived after 5 cycles of CPR. On examination, ecchymosis, blisters and bullae were noted on the extremities</w:t>
      </w:r>
      <w:r w:rsidR="00C76768" w:rsidRPr="00C76768">
        <w:rPr>
          <w:rFonts w:ascii="Times New Roman" w:hAnsi="Times New Roman" w:cs="Times New Roman"/>
          <w:sz w:val="22"/>
          <w:szCs w:val="22"/>
          <w:lang w:val="en-US"/>
        </w:rPr>
        <w:t xml:space="preserve"> </w:t>
      </w:r>
      <w:r w:rsidRPr="00C76768">
        <w:rPr>
          <w:rFonts w:ascii="Times New Roman" w:hAnsi="Times New Roman" w:cs="Times New Roman"/>
          <w:sz w:val="22"/>
          <w:szCs w:val="22"/>
          <w:lang w:val="en-US"/>
        </w:rPr>
        <w:t xml:space="preserve">along with </w:t>
      </w:r>
      <w:r w:rsidR="005763EE" w:rsidRPr="00C76768">
        <w:rPr>
          <w:rFonts w:ascii="Times New Roman" w:hAnsi="Times New Roman" w:cs="Times New Roman"/>
          <w:sz w:val="22"/>
          <w:szCs w:val="22"/>
          <w:lang w:val="en-US"/>
        </w:rPr>
        <w:t xml:space="preserve">high </w:t>
      </w:r>
      <w:r w:rsidRPr="00C76768">
        <w:rPr>
          <w:rFonts w:ascii="Times New Roman" w:hAnsi="Times New Roman" w:cs="Times New Roman"/>
          <w:sz w:val="22"/>
          <w:szCs w:val="22"/>
          <w:lang w:val="en-US"/>
        </w:rPr>
        <w:t xml:space="preserve">colored urine and hematuria. </w:t>
      </w:r>
      <w:r w:rsidR="005763EE" w:rsidRPr="00C76768">
        <w:rPr>
          <w:rFonts w:ascii="Times New Roman" w:hAnsi="Times New Roman" w:cs="Times New Roman"/>
          <w:sz w:val="22"/>
          <w:szCs w:val="22"/>
          <w:lang w:val="en-US"/>
        </w:rPr>
        <w:t xml:space="preserve">Further history revealed that the patient was a known case of </w:t>
      </w:r>
      <w:r w:rsidR="00C76768" w:rsidRPr="00C76768">
        <w:rPr>
          <w:rFonts w:ascii="Times New Roman" w:hAnsi="Times New Roman" w:cs="Times New Roman"/>
          <w:sz w:val="22"/>
          <w:szCs w:val="22"/>
          <w:lang w:val="en-US"/>
        </w:rPr>
        <w:t>rheumatoid arthritis and was</w:t>
      </w:r>
      <w:r w:rsidR="005763EE" w:rsidRPr="00C76768">
        <w:rPr>
          <w:rFonts w:ascii="Times New Roman" w:hAnsi="Times New Roman" w:cs="Times New Roman"/>
          <w:sz w:val="22"/>
          <w:szCs w:val="22"/>
          <w:lang w:val="en-US"/>
        </w:rPr>
        <w:t xml:space="preserve"> on MTX therapy for the past four years.  </w:t>
      </w:r>
    </w:p>
    <w:p w14:paraId="0332B45F" w14:textId="4B3E50EA" w:rsidR="005763EE" w:rsidRPr="00C76768" w:rsidRDefault="005763EE" w:rsidP="004D7FED">
      <w:pPr>
        <w:spacing w:line="276" w:lineRule="auto"/>
        <w:jc w:val="both"/>
        <w:rPr>
          <w:rFonts w:ascii="Times New Roman" w:hAnsi="Times New Roman" w:cs="Times New Roman"/>
          <w:sz w:val="22"/>
          <w:szCs w:val="22"/>
          <w:lang w:val="en-US"/>
        </w:rPr>
      </w:pPr>
    </w:p>
    <w:p w14:paraId="2BAF202B" w14:textId="2C29DD58" w:rsidR="002A2AEC" w:rsidRPr="00C76768" w:rsidRDefault="005763EE" w:rsidP="004D7FED">
      <w:pPr>
        <w:spacing w:line="276" w:lineRule="auto"/>
        <w:jc w:val="both"/>
        <w:rPr>
          <w:rFonts w:ascii="Times New Roman" w:hAnsi="Times New Roman" w:cs="Times New Roman"/>
          <w:sz w:val="22"/>
          <w:szCs w:val="22"/>
          <w:lang w:val="en-US"/>
        </w:rPr>
      </w:pPr>
      <w:r w:rsidRPr="00C76768">
        <w:rPr>
          <w:rFonts w:ascii="Times New Roman" w:hAnsi="Times New Roman" w:cs="Times New Roman"/>
          <w:sz w:val="22"/>
          <w:szCs w:val="22"/>
          <w:lang w:val="en-US"/>
        </w:rPr>
        <w:t xml:space="preserve">The patient was started on inotropes due to persistent hypotension as a result of </w:t>
      </w:r>
      <w:r w:rsidRPr="00C76768">
        <w:rPr>
          <w:rFonts w:ascii="Times New Roman" w:hAnsi="Times New Roman" w:cs="Times New Roman"/>
          <w:sz w:val="22"/>
          <w:szCs w:val="22"/>
          <w:lang w:val="en-US"/>
        </w:rPr>
        <w:t>delayed return of spontaneous circulation (ROSC)</w:t>
      </w:r>
      <w:r w:rsidRPr="00C76768">
        <w:rPr>
          <w:rFonts w:ascii="Times New Roman" w:hAnsi="Times New Roman" w:cs="Times New Roman"/>
          <w:sz w:val="22"/>
          <w:szCs w:val="22"/>
          <w:lang w:val="en-US"/>
        </w:rPr>
        <w:t>. Investigations revealed a low Hb level, pancytopenia and elevated serum MTX levels. Fluid therapy, blood transfusion, anti</w:t>
      </w:r>
      <w:r w:rsidR="00C76768" w:rsidRPr="00C76768">
        <w:rPr>
          <w:rFonts w:ascii="Times New Roman" w:hAnsi="Times New Roman" w:cs="Times New Roman"/>
          <w:sz w:val="22"/>
          <w:szCs w:val="22"/>
          <w:lang w:val="en-US"/>
        </w:rPr>
        <w:t>-</w:t>
      </w:r>
      <w:r w:rsidRPr="00C76768">
        <w:rPr>
          <w:rFonts w:ascii="Times New Roman" w:hAnsi="Times New Roman" w:cs="Times New Roman"/>
          <w:sz w:val="22"/>
          <w:szCs w:val="22"/>
          <w:lang w:val="en-US"/>
        </w:rPr>
        <w:t xml:space="preserve">fibrinolytics were started in due course. </w:t>
      </w:r>
      <w:r w:rsidR="00C76768" w:rsidRPr="00C76768">
        <w:rPr>
          <w:rFonts w:ascii="Times New Roman" w:hAnsi="Times New Roman" w:cs="Times New Roman"/>
          <w:sz w:val="22"/>
          <w:szCs w:val="22"/>
          <w:lang w:val="en-US"/>
        </w:rPr>
        <w:t>Antidote,</w:t>
      </w:r>
      <w:r w:rsidR="00015A35" w:rsidRPr="00C76768">
        <w:rPr>
          <w:rFonts w:ascii="Times New Roman" w:hAnsi="Times New Roman" w:cs="Times New Roman"/>
          <w:sz w:val="22"/>
          <w:szCs w:val="22"/>
          <w:lang w:val="en-US"/>
        </w:rPr>
        <w:t xml:space="preserve"> folinic acid was administered and the patient was shifted to the ICU for further evaluation and management. Due to the extensive complications, the patient deteriorated and was declared dead after a day. </w:t>
      </w:r>
    </w:p>
    <w:p w14:paraId="5D1D3236" w14:textId="441C3921" w:rsidR="00C76768" w:rsidRPr="00C76768" w:rsidRDefault="00C76768" w:rsidP="004D7FED">
      <w:pPr>
        <w:spacing w:line="276" w:lineRule="auto"/>
        <w:jc w:val="both"/>
        <w:rPr>
          <w:rFonts w:ascii="Times New Roman" w:hAnsi="Times New Roman" w:cs="Times New Roman"/>
          <w:sz w:val="22"/>
          <w:szCs w:val="22"/>
          <w:lang w:val="en-US"/>
        </w:rPr>
      </w:pPr>
    </w:p>
    <w:p w14:paraId="09C875F7" w14:textId="24CC0087" w:rsidR="00C76768" w:rsidRPr="00C76768" w:rsidRDefault="00C76768" w:rsidP="004D7FED">
      <w:pPr>
        <w:spacing w:line="276" w:lineRule="auto"/>
        <w:jc w:val="both"/>
        <w:rPr>
          <w:rFonts w:ascii="Times New Roman" w:hAnsi="Times New Roman" w:cs="Times New Roman"/>
          <w:sz w:val="22"/>
          <w:szCs w:val="22"/>
          <w:lang w:val="en-US"/>
        </w:rPr>
      </w:pPr>
      <w:r w:rsidRPr="00C76768">
        <w:rPr>
          <w:rFonts w:ascii="Times New Roman" w:hAnsi="Times New Roman" w:cs="Times New Roman"/>
          <w:sz w:val="22"/>
          <w:szCs w:val="22"/>
          <w:lang w:val="en-US"/>
        </w:rPr>
        <w:t>Acute methotrexate toxicity manifests itself in several forms including hepatotoxicity, pulmonary toxicity, acute renal failure, stomatitis, ulceration/erosion of the GI and pancytopenia.</w:t>
      </w:r>
      <w:r w:rsidRPr="00C76768">
        <w:rPr>
          <w:rFonts w:ascii="Times New Roman" w:hAnsi="Times New Roman" w:cs="Times New Roman"/>
          <w:sz w:val="22"/>
          <w:szCs w:val="22"/>
          <w:lang w:val="en-US"/>
        </w:rPr>
        <w:t xml:space="preserve"> [2]</w:t>
      </w:r>
    </w:p>
    <w:p w14:paraId="4D9675B7" w14:textId="77777777" w:rsidR="002A2AEC" w:rsidRPr="00C76768" w:rsidRDefault="002A2AEC" w:rsidP="004D7FED">
      <w:pPr>
        <w:spacing w:line="276" w:lineRule="auto"/>
        <w:jc w:val="both"/>
        <w:rPr>
          <w:rFonts w:ascii="Times New Roman" w:hAnsi="Times New Roman" w:cs="Times New Roman"/>
          <w:sz w:val="22"/>
          <w:szCs w:val="22"/>
          <w:lang w:val="en-US"/>
        </w:rPr>
      </w:pPr>
    </w:p>
    <w:p w14:paraId="5E832A36" w14:textId="16D2703B" w:rsidR="002A2AEC" w:rsidRPr="00C76768" w:rsidRDefault="00015A35" w:rsidP="004D7FED">
      <w:pPr>
        <w:spacing w:line="276" w:lineRule="auto"/>
        <w:jc w:val="both"/>
        <w:rPr>
          <w:rFonts w:ascii="Times New Roman" w:hAnsi="Times New Roman" w:cs="Times New Roman"/>
          <w:sz w:val="22"/>
          <w:szCs w:val="22"/>
          <w:lang w:val="en-US"/>
        </w:rPr>
      </w:pPr>
      <w:r w:rsidRPr="00C76768">
        <w:rPr>
          <w:rFonts w:ascii="Times New Roman" w:hAnsi="Times New Roman" w:cs="Times New Roman"/>
          <w:sz w:val="22"/>
          <w:szCs w:val="22"/>
          <w:lang w:val="en-US"/>
        </w:rPr>
        <w:t xml:space="preserve">The authors would like to emphasize that </w:t>
      </w:r>
      <w:r w:rsidR="002A2AEC" w:rsidRPr="00C76768">
        <w:rPr>
          <w:rFonts w:ascii="Times New Roman" w:hAnsi="Times New Roman" w:cs="Times New Roman"/>
          <w:sz w:val="22"/>
          <w:szCs w:val="22"/>
          <w:lang w:val="en-US"/>
        </w:rPr>
        <w:t>MTX-</w:t>
      </w:r>
      <w:r w:rsidRPr="00C76768">
        <w:rPr>
          <w:rFonts w:ascii="Times New Roman" w:hAnsi="Times New Roman" w:cs="Times New Roman"/>
          <w:sz w:val="22"/>
          <w:szCs w:val="22"/>
          <w:lang w:val="en-US"/>
        </w:rPr>
        <w:t>induced pancytopenia</w:t>
      </w:r>
      <w:r w:rsidR="002A2AEC" w:rsidRPr="00C76768">
        <w:rPr>
          <w:rFonts w:ascii="Times New Roman" w:hAnsi="Times New Roman" w:cs="Times New Roman"/>
          <w:sz w:val="22"/>
          <w:szCs w:val="22"/>
          <w:lang w:val="en-US"/>
        </w:rPr>
        <w:t xml:space="preserve"> (myelosuppression)</w:t>
      </w:r>
      <w:r w:rsidRPr="00C76768">
        <w:rPr>
          <w:rFonts w:ascii="Times New Roman" w:hAnsi="Times New Roman" w:cs="Times New Roman"/>
          <w:sz w:val="22"/>
          <w:szCs w:val="22"/>
          <w:lang w:val="en-US"/>
        </w:rPr>
        <w:t xml:space="preserve"> is</w:t>
      </w:r>
      <w:r w:rsidR="002A2AEC" w:rsidRPr="00C76768">
        <w:rPr>
          <w:rFonts w:ascii="Times New Roman" w:hAnsi="Times New Roman" w:cs="Times New Roman"/>
          <w:sz w:val="22"/>
          <w:szCs w:val="22"/>
          <w:lang w:val="en-US"/>
        </w:rPr>
        <w:t xml:space="preserve"> rarely reported but potentially fatal</w:t>
      </w:r>
      <w:r w:rsidR="002A2AEC" w:rsidRPr="00C76768">
        <w:rPr>
          <w:rFonts w:ascii="Times New Roman" w:hAnsi="Times New Roman" w:cs="Times New Roman"/>
          <w:sz w:val="22"/>
          <w:szCs w:val="22"/>
          <w:lang w:val="en-US"/>
        </w:rPr>
        <w:t xml:space="preserve"> side effect</w:t>
      </w:r>
      <w:r w:rsidR="002A2AEC" w:rsidRPr="00C76768">
        <w:rPr>
          <w:rFonts w:ascii="Times New Roman" w:hAnsi="Times New Roman" w:cs="Times New Roman"/>
          <w:sz w:val="22"/>
          <w:szCs w:val="22"/>
          <w:lang w:val="en-US"/>
        </w:rPr>
        <w:t xml:space="preserve"> of methotrexate therapy, even at low doses.</w:t>
      </w:r>
      <w:r w:rsidRPr="00C76768">
        <w:rPr>
          <w:rFonts w:ascii="Times New Roman" w:hAnsi="Times New Roman" w:cs="Times New Roman"/>
          <w:sz w:val="22"/>
          <w:szCs w:val="22"/>
          <w:lang w:val="en-US"/>
        </w:rPr>
        <w:t xml:space="preserve"> </w:t>
      </w:r>
      <w:r w:rsidR="002A2AEC" w:rsidRPr="00C76768">
        <w:rPr>
          <w:rFonts w:ascii="Times New Roman" w:hAnsi="Times New Roman" w:cs="Times New Roman"/>
          <w:sz w:val="22"/>
          <w:szCs w:val="22"/>
          <w:lang w:val="en-US"/>
        </w:rPr>
        <w:t>It is a dose</w:t>
      </w:r>
      <w:r w:rsidR="004D7FED">
        <w:rPr>
          <w:rFonts w:ascii="Times New Roman" w:hAnsi="Times New Roman" w:cs="Times New Roman"/>
          <w:sz w:val="22"/>
          <w:szCs w:val="22"/>
          <w:lang w:val="en-US"/>
        </w:rPr>
        <w:t xml:space="preserve"> and </w:t>
      </w:r>
      <w:r w:rsidR="004D7FED" w:rsidRPr="00C76768">
        <w:rPr>
          <w:rFonts w:ascii="Times New Roman" w:hAnsi="Times New Roman" w:cs="Times New Roman"/>
          <w:sz w:val="22"/>
          <w:szCs w:val="22"/>
          <w:lang w:val="en-US"/>
        </w:rPr>
        <w:t>duration</w:t>
      </w:r>
      <w:r w:rsidR="00C76768">
        <w:rPr>
          <w:rFonts w:ascii="Times New Roman" w:hAnsi="Times New Roman" w:cs="Times New Roman"/>
          <w:sz w:val="22"/>
          <w:szCs w:val="22"/>
          <w:lang w:val="en-US"/>
        </w:rPr>
        <w:t>-</w:t>
      </w:r>
      <w:r w:rsidR="002A2AEC" w:rsidRPr="00C76768">
        <w:rPr>
          <w:rFonts w:ascii="Times New Roman" w:hAnsi="Times New Roman" w:cs="Times New Roman"/>
          <w:sz w:val="22"/>
          <w:szCs w:val="22"/>
          <w:lang w:val="en-US"/>
        </w:rPr>
        <w:t xml:space="preserve">dependent complication with a female preponderance </w:t>
      </w:r>
      <w:r w:rsidR="004D7FED">
        <w:rPr>
          <w:rFonts w:ascii="Times New Roman" w:hAnsi="Times New Roman" w:cs="Times New Roman"/>
          <w:sz w:val="22"/>
          <w:szCs w:val="22"/>
          <w:lang w:val="en-US"/>
        </w:rPr>
        <w:t>(</w:t>
      </w:r>
      <w:r w:rsidR="002A2AEC" w:rsidRPr="00C76768">
        <w:rPr>
          <w:rFonts w:ascii="Times New Roman" w:hAnsi="Times New Roman" w:cs="Times New Roman"/>
          <w:sz w:val="22"/>
          <w:szCs w:val="22"/>
          <w:lang w:val="en-US"/>
        </w:rPr>
        <w:t xml:space="preserve">62.51%) and </w:t>
      </w:r>
      <w:r w:rsidR="002A2AEC" w:rsidRPr="00C76768">
        <w:rPr>
          <w:rFonts w:ascii="Times New Roman" w:hAnsi="Times New Roman" w:cs="Times New Roman"/>
          <w:sz w:val="22"/>
          <w:szCs w:val="22"/>
          <w:lang w:val="en-US"/>
        </w:rPr>
        <w:t>should be recognized and treated promptly</w:t>
      </w:r>
      <w:r w:rsidR="002A2AEC" w:rsidRPr="00C76768">
        <w:rPr>
          <w:rFonts w:ascii="Times New Roman" w:hAnsi="Times New Roman" w:cs="Times New Roman"/>
          <w:sz w:val="22"/>
          <w:szCs w:val="22"/>
          <w:lang w:val="en-US"/>
        </w:rPr>
        <w:t>. [</w:t>
      </w:r>
      <w:r w:rsidR="00C76768" w:rsidRPr="00C76768">
        <w:rPr>
          <w:rFonts w:ascii="Times New Roman" w:hAnsi="Times New Roman" w:cs="Times New Roman"/>
          <w:sz w:val="22"/>
          <w:szCs w:val="22"/>
          <w:lang w:val="en-US"/>
        </w:rPr>
        <w:t>3</w:t>
      </w:r>
      <w:r w:rsidR="002A2AEC" w:rsidRPr="00C76768">
        <w:rPr>
          <w:rFonts w:ascii="Times New Roman" w:hAnsi="Times New Roman" w:cs="Times New Roman"/>
          <w:sz w:val="22"/>
          <w:szCs w:val="22"/>
          <w:lang w:val="en-US"/>
        </w:rPr>
        <w:t xml:space="preserve">] </w:t>
      </w:r>
    </w:p>
    <w:p w14:paraId="71C53B69" w14:textId="77777777" w:rsidR="002A2AEC" w:rsidRPr="00C76768" w:rsidRDefault="002A2AEC" w:rsidP="004D7FED">
      <w:pPr>
        <w:spacing w:line="276" w:lineRule="auto"/>
        <w:jc w:val="both"/>
        <w:rPr>
          <w:rFonts w:ascii="Times New Roman" w:hAnsi="Times New Roman" w:cs="Times New Roman"/>
          <w:sz w:val="22"/>
          <w:szCs w:val="22"/>
          <w:lang w:val="en-US"/>
        </w:rPr>
      </w:pPr>
    </w:p>
    <w:p w14:paraId="4B90F14B" w14:textId="7EB6D70C" w:rsidR="00C76768" w:rsidRPr="006E714F" w:rsidRDefault="00015A35" w:rsidP="004D7FED">
      <w:pPr>
        <w:spacing w:line="276" w:lineRule="auto"/>
        <w:jc w:val="both"/>
        <w:rPr>
          <w:rFonts w:ascii="Times New Roman" w:hAnsi="Times New Roman" w:cs="Times New Roman"/>
          <w:sz w:val="22"/>
          <w:szCs w:val="22"/>
          <w:lang w:val="en-US"/>
        </w:rPr>
      </w:pPr>
      <w:r w:rsidRPr="00C76768">
        <w:rPr>
          <w:rFonts w:ascii="Times New Roman" w:hAnsi="Times New Roman" w:cs="Times New Roman"/>
          <w:sz w:val="22"/>
          <w:szCs w:val="22"/>
          <w:lang w:val="en-US"/>
        </w:rPr>
        <w:t xml:space="preserve">MTX is one of the most widely used drug for dermatology, rheumatology and oncological diseases, however, careful monitoring of therapeutic dose </w:t>
      </w:r>
      <w:r w:rsidR="004D7FED">
        <w:rPr>
          <w:rFonts w:ascii="Times New Roman" w:hAnsi="Times New Roman" w:cs="Times New Roman"/>
          <w:sz w:val="22"/>
          <w:szCs w:val="22"/>
          <w:lang w:val="en-US"/>
        </w:rPr>
        <w:t xml:space="preserve">and avoidance of self-administration </w:t>
      </w:r>
      <w:r w:rsidRPr="00C76768">
        <w:rPr>
          <w:rFonts w:ascii="Times New Roman" w:hAnsi="Times New Roman" w:cs="Times New Roman"/>
          <w:sz w:val="22"/>
          <w:szCs w:val="22"/>
          <w:lang w:val="en-US"/>
        </w:rPr>
        <w:t xml:space="preserve">is crucial to prevent such adverse outcomes. </w:t>
      </w:r>
      <w:r w:rsidR="002A2AEC" w:rsidRPr="00C76768">
        <w:rPr>
          <w:rFonts w:ascii="Times New Roman" w:hAnsi="Times New Roman" w:cs="Times New Roman"/>
          <w:sz w:val="22"/>
          <w:szCs w:val="22"/>
          <w:lang w:val="en-US"/>
        </w:rPr>
        <w:t>[</w:t>
      </w:r>
      <w:r w:rsidR="00C76768" w:rsidRPr="00C76768">
        <w:rPr>
          <w:rFonts w:ascii="Times New Roman" w:hAnsi="Times New Roman" w:cs="Times New Roman"/>
          <w:sz w:val="22"/>
          <w:szCs w:val="22"/>
          <w:lang w:val="en-US"/>
        </w:rPr>
        <w:t>4</w:t>
      </w:r>
      <w:r w:rsidR="002A2AEC" w:rsidRPr="00C76768">
        <w:rPr>
          <w:rFonts w:ascii="Times New Roman" w:hAnsi="Times New Roman" w:cs="Times New Roman"/>
          <w:sz w:val="22"/>
          <w:szCs w:val="22"/>
          <w:lang w:val="en-US"/>
        </w:rPr>
        <w:t>]</w:t>
      </w:r>
      <w:r w:rsidR="005424BB" w:rsidRPr="005424BB">
        <w:t xml:space="preserve"> </w:t>
      </w:r>
    </w:p>
    <w:p w14:paraId="2D61C13E" w14:textId="77777777" w:rsidR="00C76768" w:rsidRDefault="00C76768" w:rsidP="004D7FED">
      <w:pPr>
        <w:spacing w:line="276" w:lineRule="auto"/>
        <w:jc w:val="both"/>
        <w:rPr>
          <w:rFonts w:ascii="Times New Roman" w:hAnsi="Times New Roman" w:cs="Times New Roman"/>
          <w:sz w:val="22"/>
          <w:szCs w:val="22"/>
          <w:u w:val="single"/>
          <w:lang w:val="en-US"/>
        </w:rPr>
      </w:pPr>
    </w:p>
    <w:p w14:paraId="37A9A882" w14:textId="05310FC5" w:rsidR="007B6E97" w:rsidRPr="00C76768" w:rsidRDefault="004D7FED" w:rsidP="004D7FED">
      <w:pPr>
        <w:spacing w:line="276" w:lineRule="auto"/>
        <w:jc w:val="both"/>
        <w:rPr>
          <w:rFonts w:ascii="Times New Roman" w:hAnsi="Times New Roman" w:cs="Times New Roman"/>
          <w:sz w:val="22"/>
          <w:szCs w:val="22"/>
          <w:u w:val="single"/>
          <w:lang w:val="en-US"/>
        </w:rPr>
      </w:pPr>
      <w:r w:rsidRPr="00C76768">
        <w:rPr>
          <w:rFonts w:ascii="Times New Roman" w:hAnsi="Times New Roman" w:cs="Times New Roman"/>
          <w:sz w:val="22"/>
          <w:szCs w:val="22"/>
          <w:u w:val="single"/>
          <w:lang w:val="en-US"/>
        </w:rPr>
        <w:t>REFERENCES</w:t>
      </w:r>
    </w:p>
    <w:p w14:paraId="4B21FC27" w14:textId="71D33E01" w:rsidR="007B6E97" w:rsidRPr="00C76768" w:rsidRDefault="007B6E97" w:rsidP="004D7FED">
      <w:pPr>
        <w:spacing w:line="276" w:lineRule="auto"/>
        <w:jc w:val="both"/>
        <w:rPr>
          <w:rFonts w:ascii="Times New Roman" w:hAnsi="Times New Roman" w:cs="Times New Roman"/>
          <w:sz w:val="22"/>
          <w:szCs w:val="22"/>
          <w:lang w:val="en-US"/>
        </w:rPr>
      </w:pPr>
    </w:p>
    <w:p w14:paraId="022BF005" w14:textId="77777777" w:rsidR="002A2AEC" w:rsidRPr="00C76768" w:rsidRDefault="002A2AEC" w:rsidP="004D7FED">
      <w:pPr>
        <w:pStyle w:val="ListParagraph"/>
        <w:numPr>
          <w:ilvl w:val="0"/>
          <w:numId w:val="3"/>
        </w:numPr>
        <w:spacing w:line="276" w:lineRule="auto"/>
        <w:jc w:val="both"/>
        <w:rPr>
          <w:rFonts w:ascii="Times New Roman" w:eastAsia="Times New Roman" w:hAnsi="Times New Roman" w:cs="Times New Roman"/>
          <w:sz w:val="22"/>
          <w:szCs w:val="22"/>
          <w:lang w:eastAsia="en-GB"/>
        </w:rPr>
      </w:pPr>
      <w:r w:rsidRPr="00C76768">
        <w:rPr>
          <w:rFonts w:ascii="Times New Roman" w:eastAsia="Times New Roman" w:hAnsi="Times New Roman" w:cs="Times New Roman"/>
          <w:color w:val="222222"/>
          <w:sz w:val="22"/>
          <w:szCs w:val="22"/>
          <w:shd w:val="clear" w:color="auto" w:fill="FFFFFF"/>
          <w:lang w:eastAsia="en-GB"/>
        </w:rPr>
        <w:t>Chan BS, Dawson AH, Buckley NA. What can clinicians learn from therapeutic studies about the treatment of acute oral methotrexate poisoning?. Clinical Toxicology. 2017 Feb 7;55(2):88-96.</w:t>
      </w:r>
    </w:p>
    <w:p w14:paraId="01A82B3F" w14:textId="77777777" w:rsidR="007B6E97" w:rsidRPr="00C76768" w:rsidRDefault="007B6E97" w:rsidP="004D7FED">
      <w:pPr>
        <w:spacing w:line="276" w:lineRule="auto"/>
        <w:ind w:left="360"/>
        <w:jc w:val="both"/>
        <w:rPr>
          <w:rFonts w:ascii="Times New Roman" w:eastAsia="Times New Roman" w:hAnsi="Times New Roman" w:cs="Times New Roman"/>
          <w:sz w:val="22"/>
          <w:szCs w:val="22"/>
          <w:lang w:eastAsia="en-GB"/>
        </w:rPr>
      </w:pPr>
    </w:p>
    <w:p w14:paraId="4DF70C85" w14:textId="0213D2EF" w:rsidR="00C76768" w:rsidRPr="00C76768" w:rsidRDefault="00C76768" w:rsidP="004D7FED">
      <w:pPr>
        <w:pStyle w:val="ListParagraph"/>
        <w:numPr>
          <w:ilvl w:val="0"/>
          <w:numId w:val="3"/>
        </w:numPr>
        <w:spacing w:line="276" w:lineRule="auto"/>
        <w:jc w:val="both"/>
        <w:rPr>
          <w:rFonts w:ascii="Times New Roman" w:eastAsia="Times New Roman" w:hAnsi="Times New Roman" w:cs="Times New Roman"/>
          <w:sz w:val="22"/>
          <w:szCs w:val="22"/>
          <w:lang w:eastAsia="en-GB"/>
        </w:rPr>
      </w:pPr>
      <w:r w:rsidRPr="00C76768">
        <w:rPr>
          <w:rFonts w:ascii="Times New Roman" w:eastAsia="Times New Roman" w:hAnsi="Times New Roman" w:cs="Times New Roman"/>
          <w:color w:val="000000"/>
          <w:sz w:val="22"/>
          <w:szCs w:val="22"/>
          <w:shd w:val="clear" w:color="auto" w:fill="FFFFFF"/>
          <w:lang w:eastAsia="en-GB"/>
        </w:rPr>
        <w:lastRenderedPageBreak/>
        <w:t xml:space="preserve">Olsen EA. The pharmacology of methotrexate. J Am </w:t>
      </w:r>
      <w:proofErr w:type="spellStart"/>
      <w:r w:rsidRPr="00C76768">
        <w:rPr>
          <w:rFonts w:ascii="Times New Roman" w:eastAsia="Times New Roman" w:hAnsi="Times New Roman" w:cs="Times New Roman"/>
          <w:color w:val="000000"/>
          <w:sz w:val="22"/>
          <w:szCs w:val="22"/>
          <w:shd w:val="clear" w:color="auto" w:fill="FFFFFF"/>
          <w:lang w:eastAsia="en-GB"/>
        </w:rPr>
        <w:t>Acad</w:t>
      </w:r>
      <w:proofErr w:type="spellEnd"/>
      <w:r w:rsidRPr="00C76768">
        <w:rPr>
          <w:rFonts w:ascii="Times New Roman" w:eastAsia="Times New Roman" w:hAnsi="Times New Roman" w:cs="Times New Roman"/>
          <w:color w:val="000000"/>
          <w:sz w:val="22"/>
          <w:szCs w:val="22"/>
          <w:shd w:val="clear" w:color="auto" w:fill="FFFFFF"/>
          <w:lang w:eastAsia="en-GB"/>
        </w:rPr>
        <w:t xml:space="preserve"> Dermatol 1993;25:300-18.  </w:t>
      </w:r>
    </w:p>
    <w:p w14:paraId="19A83012" w14:textId="77777777" w:rsidR="00C76768" w:rsidRPr="00C76768" w:rsidRDefault="00C76768" w:rsidP="004D7FED">
      <w:pPr>
        <w:pStyle w:val="ListParagraph"/>
        <w:spacing w:line="276" w:lineRule="auto"/>
        <w:jc w:val="both"/>
        <w:rPr>
          <w:rFonts w:ascii="Times New Roman" w:eastAsia="Times New Roman" w:hAnsi="Times New Roman" w:cs="Times New Roman"/>
          <w:color w:val="222222"/>
          <w:sz w:val="22"/>
          <w:szCs w:val="22"/>
          <w:shd w:val="clear" w:color="auto" w:fill="FFFFFF"/>
          <w:lang w:eastAsia="en-GB"/>
        </w:rPr>
      </w:pPr>
    </w:p>
    <w:p w14:paraId="76FFEA39" w14:textId="0A0D6AC6" w:rsidR="00C76768" w:rsidRPr="00C76768" w:rsidRDefault="00C76768" w:rsidP="004D7FED">
      <w:pPr>
        <w:pStyle w:val="ListParagraph"/>
        <w:numPr>
          <w:ilvl w:val="0"/>
          <w:numId w:val="3"/>
        </w:numPr>
        <w:spacing w:line="276" w:lineRule="auto"/>
        <w:rPr>
          <w:rFonts w:ascii="Times New Roman" w:eastAsia="Times New Roman" w:hAnsi="Times New Roman" w:cs="Times New Roman"/>
          <w:sz w:val="22"/>
          <w:szCs w:val="22"/>
          <w:lang w:eastAsia="en-GB"/>
        </w:rPr>
      </w:pPr>
      <w:proofErr w:type="spellStart"/>
      <w:r w:rsidRPr="00C76768">
        <w:rPr>
          <w:rFonts w:ascii="Times New Roman" w:eastAsia="Times New Roman" w:hAnsi="Times New Roman" w:cs="Times New Roman"/>
          <w:color w:val="222222"/>
          <w:sz w:val="22"/>
          <w:szCs w:val="22"/>
          <w:shd w:val="clear" w:color="auto" w:fill="FFFFFF"/>
          <w:lang w:eastAsia="en-GB"/>
        </w:rPr>
        <w:t>Kanderi</w:t>
      </w:r>
      <w:proofErr w:type="spellEnd"/>
      <w:r w:rsidRPr="00C76768">
        <w:rPr>
          <w:rFonts w:ascii="Times New Roman" w:eastAsia="Times New Roman" w:hAnsi="Times New Roman" w:cs="Times New Roman"/>
          <w:color w:val="222222"/>
          <w:sz w:val="22"/>
          <w:szCs w:val="22"/>
          <w:shd w:val="clear" w:color="auto" w:fill="FFFFFF"/>
          <w:lang w:eastAsia="en-GB"/>
        </w:rPr>
        <w:t xml:space="preserve"> T, Gomez JC, </w:t>
      </w:r>
      <w:proofErr w:type="spellStart"/>
      <w:r w:rsidRPr="00C76768">
        <w:rPr>
          <w:rFonts w:ascii="Times New Roman" w:eastAsia="Times New Roman" w:hAnsi="Times New Roman" w:cs="Times New Roman"/>
          <w:color w:val="222222"/>
          <w:sz w:val="22"/>
          <w:szCs w:val="22"/>
          <w:shd w:val="clear" w:color="auto" w:fill="FFFFFF"/>
          <w:lang w:eastAsia="en-GB"/>
        </w:rPr>
        <w:t>Puthenpura</w:t>
      </w:r>
      <w:proofErr w:type="spellEnd"/>
      <w:r w:rsidRPr="00C76768">
        <w:rPr>
          <w:rFonts w:ascii="Times New Roman" w:eastAsia="Times New Roman" w:hAnsi="Times New Roman" w:cs="Times New Roman"/>
          <w:color w:val="222222"/>
          <w:sz w:val="22"/>
          <w:szCs w:val="22"/>
          <w:shd w:val="clear" w:color="auto" w:fill="FFFFFF"/>
          <w:lang w:eastAsia="en-GB"/>
        </w:rPr>
        <w:t xml:space="preserve"> MM, Yarlagadda K, </w:t>
      </w:r>
      <w:proofErr w:type="spellStart"/>
      <w:r w:rsidRPr="00C76768">
        <w:rPr>
          <w:rFonts w:ascii="Times New Roman" w:eastAsia="Times New Roman" w:hAnsi="Times New Roman" w:cs="Times New Roman"/>
          <w:color w:val="222222"/>
          <w:sz w:val="22"/>
          <w:szCs w:val="22"/>
          <w:shd w:val="clear" w:color="auto" w:fill="FFFFFF"/>
          <w:lang w:eastAsia="en-GB"/>
        </w:rPr>
        <w:t>Gangireddy</w:t>
      </w:r>
      <w:proofErr w:type="spellEnd"/>
      <w:r w:rsidRPr="00C76768">
        <w:rPr>
          <w:rFonts w:ascii="Times New Roman" w:eastAsia="Times New Roman" w:hAnsi="Times New Roman" w:cs="Times New Roman"/>
          <w:color w:val="222222"/>
          <w:sz w:val="22"/>
          <w:szCs w:val="22"/>
          <w:shd w:val="clear" w:color="auto" w:fill="FFFFFF"/>
          <w:lang w:eastAsia="en-GB"/>
        </w:rPr>
        <w:t xml:space="preserve"> M. Pancytopenia as a Complication of Low-Dose Methotrexate in a Septuagenarian: A Rare Presentation. </w:t>
      </w:r>
      <w:proofErr w:type="spellStart"/>
      <w:r w:rsidRPr="00C76768">
        <w:rPr>
          <w:rFonts w:ascii="Times New Roman" w:eastAsia="Times New Roman" w:hAnsi="Times New Roman" w:cs="Times New Roman"/>
          <w:color w:val="222222"/>
          <w:sz w:val="22"/>
          <w:szCs w:val="22"/>
          <w:shd w:val="clear" w:color="auto" w:fill="FFFFFF"/>
          <w:lang w:eastAsia="en-GB"/>
        </w:rPr>
        <w:t>Cureus</w:t>
      </w:r>
      <w:proofErr w:type="spellEnd"/>
      <w:r w:rsidRPr="00C76768">
        <w:rPr>
          <w:rFonts w:ascii="Times New Roman" w:eastAsia="Times New Roman" w:hAnsi="Times New Roman" w:cs="Times New Roman"/>
          <w:color w:val="222222"/>
          <w:sz w:val="22"/>
          <w:szCs w:val="22"/>
          <w:shd w:val="clear" w:color="auto" w:fill="FFFFFF"/>
          <w:lang w:eastAsia="en-GB"/>
        </w:rPr>
        <w:t>. 2020 Jun;12(6).</w:t>
      </w:r>
    </w:p>
    <w:p w14:paraId="52C9850B" w14:textId="77777777" w:rsidR="00C76768" w:rsidRPr="00C76768" w:rsidRDefault="00C76768" w:rsidP="004D7FED">
      <w:pPr>
        <w:pStyle w:val="ListParagraph"/>
        <w:spacing w:line="276" w:lineRule="auto"/>
        <w:rPr>
          <w:rFonts w:ascii="Times New Roman" w:eastAsia="Times New Roman" w:hAnsi="Times New Roman" w:cs="Times New Roman"/>
          <w:color w:val="222222"/>
          <w:sz w:val="22"/>
          <w:szCs w:val="22"/>
          <w:shd w:val="clear" w:color="auto" w:fill="FFFFFF"/>
          <w:lang w:eastAsia="en-GB"/>
        </w:rPr>
      </w:pPr>
    </w:p>
    <w:p w14:paraId="6830C53C" w14:textId="616EE97A" w:rsidR="007B6E97" w:rsidRPr="00C76768" w:rsidRDefault="007B6E97" w:rsidP="004D7FED">
      <w:pPr>
        <w:pStyle w:val="ListParagraph"/>
        <w:numPr>
          <w:ilvl w:val="0"/>
          <w:numId w:val="3"/>
        </w:numPr>
        <w:spacing w:line="276" w:lineRule="auto"/>
        <w:jc w:val="both"/>
        <w:rPr>
          <w:rFonts w:ascii="Times New Roman" w:eastAsia="Times New Roman" w:hAnsi="Times New Roman" w:cs="Times New Roman"/>
          <w:sz w:val="22"/>
          <w:szCs w:val="22"/>
          <w:lang w:eastAsia="en-GB"/>
        </w:rPr>
      </w:pPr>
      <w:proofErr w:type="spellStart"/>
      <w:r w:rsidRPr="00C76768">
        <w:rPr>
          <w:rFonts w:ascii="Times New Roman" w:eastAsia="Times New Roman" w:hAnsi="Times New Roman" w:cs="Times New Roman"/>
          <w:color w:val="222222"/>
          <w:sz w:val="22"/>
          <w:szCs w:val="22"/>
          <w:shd w:val="clear" w:color="auto" w:fill="FFFFFF"/>
          <w:lang w:eastAsia="en-GB"/>
        </w:rPr>
        <w:t>Bidaki</w:t>
      </w:r>
      <w:proofErr w:type="spellEnd"/>
      <w:r w:rsidRPr="00C76768">
        <w:rPr>
          <w:rFonts w:ascii="Times New Roman" w:eastAsia="Times New Roman" w:hAnsi="Times New Roman" w:cs="Times New Roman"/>
          <w:color w:val="222222"/>
          <w:sz w:val="22"/>
          <w:szCs w:val="22"/>
          <w:shd w:val="clear" w:color="auto" w:fill="FFFFFF"/>
          <w:lang w:eastAsia="en-GB"/>
        </w:rPr>
        <w:t xml:space="preserve"> R, Kian M, </w:t>
      </w:r>
      <w:proofErr w:type="spellStart"/>
      <w:r w:rsidRPr="00C76768">
        <w:rPr>
          <w:rFonts w:ascii="Times New Roman" w:eastAsia="Times New Roman" w:hAnsi="Times New Roman" w:cs="Times New Roman"/>
          <w:color w:val="222222"/>
          <w:sz w:val="22"/>
          <w:szCs w:val="22"/>
          <w:shd w:val="clear" w:color="auto" w:fill="FFFFFF"/>
          <w:lang w:eastAsia="en-GB"/>
        </w:rPr>
        <w:t>Owliaey</w:t>
      </w:r>
      <w:proofErr w:type="spellEnd"/>
      <w:r w:rsidRPr="00C76768">
        <w:rPr>
          <w:rFonts w:ascii="Times New Roman" w:eastAsia="Times New Roman" w:hAnsi="Times New Roman" w:cs="Times New Roman"/>
          <w:color w:val="222222"/>
          <w:sz w:val="22"/>
          <w:szCs w:val="22"/>
          <w:shd w:val="clear" w:color="auto" w:fill="FFFFFF"/>
          <w:lang w:eastAsia="en-GB"/>
        </w:rPr>
        <w:t xml:space="preserve"> H, </w:t>
      </w:r>
      <w:proofErr w:type="spellStart"/>
      <w:r w:rsidRPr="00C76768">
        <w:rPr>
          <w:rFonts w:ascii="Times New Roman" w:eastAsia="Times New Roman" w:hAnsi="Times New Roman" w:cs="Times New Roman"/>
          <w:color w:val="222222"/>
          <w:sz w:val="22"/>
          <w:szCs w:val="22"/>
          <w:shd w:val="clear" w:color="auto" w:fill="FFFFFF"/>
          <w:lang w:eastAsia="en-GB"/>
        </w:rPr>
        <w:t>Zarch</w:t>
      </w:r>
      <w:proofErr w:type="spellEnd"/>
      <w:r w:rsidRPr="00C76768">
        <w:rPr>
          <w:rFonts w:ascii="Times New Roman" w:eastAsia="Times New Roman" w:hAnsi="Times New Roman" w:cs="Times New Roman"/>
          <w:color w:val="222222"/>
          <w:sz w:val="22"/>
          <w:szCs w:val="22"/>
          <w:shd w:val="clear" w:color="auto" w:fill="FFFFFF"/>
          <w:lang w:eastAsia="en-GB"/>
        </w:rPr>
        <w:t xml:space="preserve"> MB, </w:t>
      </w:r>
      <w:proofErr w:type="spellStart"/>
      <w:r w:rsidRPr="00C76768">
        <w:rPr>
          <w:rFonts w:ascii="Times New Roman" w:eastAsia="Times New Roman" w:hAnsi="Times New Roman" w:cs="Times New Roman"/>
          <w:color w:val="222222"/>
          <w:sz w:val="22"/>
          <w:szCs w:val="22"/>
          <w:shd w:val="clear" w:color="auto" w:fill="FFFFFF"/>
          <w:lang w:eastAsia="en-GB"/>
        </w:rPr>
        <w:t>Feysal</w:t>
      </w:r>
      <w:proofErr w:type="spellEnd"/>
      <w:r w:rsidRPr="00C76768">
        <w:rPr>
          <w:rFonts w:ascii="Times New Roman" w:eastAsia="Times New Roman" w:hAnsi="Times New Roman" w:cs="Times New Roman"/>
          <w:color w:val="222222"/>
          <w:sz w:val="22"/>
          <w:szCs w:val="22"/>
          <w:shd w:val="clear" w:color="auto" w:fill="FFFFFF"/>
          <w:lang w:eastAsia="en-GB"/>
        </w:rPr>
        <w:t xml:space="preserve"> M. Accidental Chronic Poisoning with Methotrexate; Report of Two Cases. Emergency. 2017;5(1).</w:t>
      </w:r>
    </w:p>
    <w:p w14:paraId="65B0E428" w14:textId="77777777" w:rsidR="002A2AEC" w:rsidRPr="00C76768" w:rsidRDefault="002A2AEC" w:rsidP="004D7FED">
      <w:pPr>
        <w:spacing w:line="276" w:lineRule="auto"/>
        <w:jc w:val="both"/>
        <w:rPr>
          <w:rFonts w:ascii="Times New Roman" w:eastAsia="Times New Roman" w:hAnsi="Times New Roman" w:cs="Times New Roman"/>
          <w:sz w:val="22"/>
          <w:szCs w:val="22"/>
          <w:lang w:eastAsia="en-GB"/>
        </w:rPr>
      </w:pPr>
    </w:p>
    <w:p w14:paraId="0BCA463D" w14:textId="77777777" w:rsidR="007B6E97" w:rsidRPr="00C76768" w:rsidRDefault="007B6E97" w:rsidP="004D7FED">
      <w:pPr>
        <w:spacing w:line="276" w:lineRule="auto"/>
        <w:ind w:left="360"/>
        <w:jc w:val="both"/>
        <w:rPr>
          <w:rFonts w:ascii="Times New Roman" w:hAnsi="Times New Roman" w:cs="Times New Roman"/>
          <w:sz w:val="22"/>
          <w:szCs w:val="22"/>
          <w:lang w:val="en-US"/>
        </w:rPr>
      </w:pPr>
    </w:p>
    <w:p w14:paraId="21C0A9C3" w14:textId="77777777" w:rsidR="00015A35" w:rsidRPr="00C76768" w:rsidRDefault="00015A35" w:rsidP="004D7FED">
      <w:pPr>
        <w:spacing w:line="276" w:lineRule="auto"/>
        <w:jc w:val="both"/>
        <w:rPr>
          <w:rFonts w:ascii="Times New Roman" w:hAnsi="Times New Roman" w:cs="Times New Roman"/>
          <w:sz w:val="22"/>
          <w:szCs w:val="22"/>
          <w:lang w:val="en-US"/>
        </w:rPr>
      </w:pPr>
    </w:p>
    <w:sectPr w:rsidR="00015A35" w:rsidRPr="00C76768" w:rsidSect="0075540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10436"/>
    <w:multiLevelType w:val="hybridMultilevel"/>
    <w:tmpl w:val="85DCD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AD4ACB"/>
    <w:multiLevelType w:val="hybridMultilevel"/>
    <w:tmpl w:val="EC6A67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6AE443C"/>
    <w:multiLevelType w:val="hybridMultilevel"/>
    <w:tmpl w:val="6C7E7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3BE"/>
    <w:rsid w:val="00015A35"/>
    <w:rsid w:val="002A2AEC"/>
    <w:rsid w:val="004D7FED"/>
    <w:rsid w:val="0053690B"/>
    <w:rsid w:val="005424BB"/>
    <w:rsid w:val="005763EE"/>
    <w:rsid w:val="006E714F"/>
    <w:rsid w:val="00755401"/>
    <w:rsid w:val="007B6E97"/>
    <w:rsid w:val="00C76768"/>
    <w:rsid w:val="00D003B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36B9CD92"/>
  <w15:chartTrackingRefBased/>
  <w15:docId w15:val="{020FC6E7-B5BC-A544-AC60-2ADC171A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E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3725">
      <w:bodyDiv w:val="1"/>
      <w:marLeft w:val="0"/>
      <w:marRight w:val="0"/>
      <w:marTop w:val="0"/>
      <w:marBottom w:val="0"/>
      <w:divBdr>
        <w:top w:val="none" w:sz="0" w:space="0" w:color="auto"/>
        <w:left w:val="none" w:sz="0" w:space="0" w:color="auto"/>
        <w:bottom w:val="none" w:sz="0" w:space="0" w:color="auto"/>
        <w:right w:val="none" w:sz="0" w:space="0" w:color="auto"/>
      </w:divBdr>
    </w:div>
    <w:div w:id="594171844">
      <w:bodyDiv w:val="1"/>
      <w:marLeft w:val="0"/>
      <w:marRight w:val="0"/>
      <w:marTop w:val="0"/>
      <w:marBottom w:val="0"/>
      <w:divBdr>
        <w:top w:val="none" w:sz="0" w:space="0" w:color="auto"/>
        <w:left w:val="none" w:sz="0" w:space="0" w:color="auto"/>
        <w:bottom w:val="none" w:sz="0" w:space="0" w:color="auto"/>
        <w:right w:val="none" w:sz="0" w:space="0" w:color="auto"/>
      </w:divBdr>
    </w:div>
    <w:div w:id="608201638">
      <w:bodyDiv w:val="1"/>
      <w:marLeft w:val="0"/>
      <w:marRight w:val="0"/>
      <w:marTop w:val="0"/>
      <w:marBottom w:val="0"/>
      <w:divBdr>
        <w:top w:val="none" w:sz="0" w:space="0" w:color="auto"/>
        <w:left w:val="none" w:sz="0" w:space="0" w:color="auto"/>
        <w:bottom w:val="none" w:sz="0" w:space="0" w:color="auto"/>
        <w:right w:val="none" w:sz="0" w:space="0" w:color="auto"/>
      </w:divBdr>
    </w:div>
    <w:div w:id="967708930">
      <w:bodyDiv w:val="1"/>
      <w:marLeft w:val="0"/>
      <w:marRight w:val="0"/>
      <w:marTop w:val="0"/>
      <w:marBottom w:val="0"/>
      <w:divBdr>
        <w:top w:val="none" w:sz="0" w:space="0" w:color="auto"/>
        <w:left w:val="none" w:sz="0" w:space="0" w:color="auto"/>
        <w:bottom w:val="none" w:sz="0" w:space="0" w:color="auto"/>
        <w:right w:val="none" w:sz="0" w:space="0" w:color="auto"/>
      </w:divBdr>
    </w:div>
    <w:div w:id="1255937061">
      <w:bodyDiv w:val="1"/>
      <w:marLeft w:val="0"/>
      <w:marRight w:val="0"/>
      <w:marTop w:val="0"/>
      <w:marBottom w:val="0"/>
      <w:divBdr>
        <w:top w:val="none" w:sz="0" w:space="0" w:color="auto"/>
        <w:left w:val="none" w:sz="0" w:space="0" w:color="auto"/>
        <w:bottom w:val="none" w:sz="0" w:space="0" w:color="auto"/>
        <w:right w:val="none" w:sz="0" w:space="0" w:color="auto"/>
      </w:divBdr>
    </w:div>
    <w:div w:id="1505124235">
      <w:bodyDiv w:val="1"/>
      <w:marLeft w:val="0"/>
      <w:marRight w:val="0"/>
      <w:marTop w:val="0"/>
      <w:marBottom w:val="0"/>
      <w:divBdr>
        <w:top w:val="none" w:sz="0" w:space="0" w:color="auto"/>
        <w:left w:val="none" w:sz="0" w:space="0" w:color="auto"/>
        <w:bottom w:val="none" w:sz="0" w:space="0" w:color="auto"/>
        <w:right w:val="none" w:sz="0" w:space="0" w:color="auto"/>
      </w:divBdr>
    </w:div>
    <w:div w:id="1536045657">
      <w:bodyDiv w:val="1"/>
      <w:marLeft w:val="0"/>
      <w:marRight w:val="0"/>
      <w:marTop w:val="0"/>
      <w:marBottom w:val="0"/>
      <w:divBdr>
        <w:top w:val="none" w:sz="0" w:space="0" w:color="auto"/>
        <w:left w:val="none" w:sz="0" w:space="0" w:color="auto"/>
        <w:bottom w:val="none" w:sz="0" w:space="0" w:color="auto"/>
        <w:right w:val="none" w:sz="0" w:space="0" w:color="auto"/>
      </w:divBdr>
    </w:div>
    <w:div w:id="181609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tusharindralal@gmail.com</dc:creator>
  <cp:keywords/>
  <dc:description/>
  <cp:lastModifiedBy>tusharindralal@gmail.com</cp:lastModifiedBy>
  <cp:revision>4</cp:revision>
  <dcterms:created xsi:type="dcterms:W3CDTF">2021-07-14T21:22:00Z</dcterms:created>
  <dcterms:modified xsi:type="dcterms:W3CDTF">2021-07-14T22:22:00Z</dcterms:modified>
</cp:coreProperties>
</file>