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6D68E" w14:textId="77777777" w:rsidR="00ED1246" w:rsidRDefault="00ED1246" w:rsidP="00ED1246">
      <w:pPr>
        <w:spacing w:after="100" w:afterAutospacing="1"/>
      </w:pPr>
    </w:p>
    <w:p w14:paraId="02C1C67A" w14:textId="77777777" w:rsidR="00ED1246" w:rsidRDefault="00ED1246" w:rsidP="00ED1246">
      <w:pPr>
        <w:spacing w:after="100" w:afterAutospacing="1"/>
      </w:pPr>
    </w:p>
    <w:p w14:paraId="5EE7F555" w14:textId="77777777" w:rsidR="00ED1246" w:rsidRDefault="00ED1246" w:rsidP="00ED1246">
      <w:pPr>
        <w:spacing w:after="0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Non-Cultured Epithelial Cells in Platelet-Rich Plasma for the </w:t>
      </w:r>
      <w:bookmarkStart w:id="0" w:name="_GoBack"/>
      <w:bookmarkEnd w:id="0"/>
      <w:r>
        <w:rPr>
          <w:b/>
          <w:sz w:val="32"/>
          <w:szCs w:val="32"/>
        </w:rPr>
        <w:t>Resurfacing of Massive and Chronic Full-Thickness Burns: A Case Series.</w:t>
      </w:r>
    </w:p>
    <w:p w14:paraId="03BBB4DF" w14:textId="77777777" w:rsidR="00ED1246" w:rsidRDefault="00ED1246" w:rsidP="00ED1246">
      <w:pPr>
        <w:spacing w:after="100" w:afterAutospacing="1"/>
      </w:pPr>
    </w:p>
    <w:p w14:paraId="53168436" w14:textId="77777777" w:rsidR="00ED1246" w:rsidRDefault="00ED1246" w:rsidP="00ED124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</w:p>
    <w:p w14:paraId="21DAE41C" w14:textId="4C4B076B" w:rsidR="00ED1246" w:rsidRDefault="00ED1246" w:rsidP="00ED1246">
      <w:pPr>
        <w:pStyle w:val="NoSpacing"/>
      </w:pPr>
      <w:r w:rsidRPr="0006351C">
        <w:t xml:space="preserve">We describe the use of a combination of platelet-rich fibrin and spray-on skin for </w:t>
      </w:r>
      <w:r>
        <w:t>15</w:t>
      </w:r>
      <w:r w:rsidRPr="0006351C">
        <w:t xml:space="preserve"> patients with massive burns and </w:t>
      </w:r>
      <w:r>
        <w:t>five</w:t>
      </w:r>
      <w:r w:rsidRPr="0006351C">
        <w:t xml:space="preserve"> patients with chronic burn wounds. A fast, complete graft take was noted in all cases. </w:t>
      </w:r>
      <w:r w:rsidRPr="00C4326C">
        <w:t>The coverage of massive burns (i.e. more than 40% TBSA)</w:t>
      </w:r>
      <w:r>
        <w:t xml:space="preserve"> is a challenge. As about 80% of the skin can be used as possible donor sites, the area to be grafted in massive burns often exceeds the available donor skin.  A number if strategies are available to deal with this situation. Re-harvesting from a previously used donor sites is </w:t>
      </w:r>
      <w:proofErr w:type="gramStart"/>
      <w:r>
        <w:t>possible, but</w:t>
      </w:r>
      <w:proofErr w:type="gramEnd"/>
      <w:r>
        <w:t xml:space="preserve"> requires a regeneration period of 2-3 weeks.</w:t>
      </w:r>
      <w:r w:rsidRPr="00ED1246">
        <w:t xml:space="preserve"> </w:t>
      </w:r>
      <w:r>
        <w:t xml:space="preserve">Wide meshing (to a </w:t>
      </w:r>
      <w:proofErr w:type="gramStart"/>
      <w:r>
        <w:t>ratio  of</w:t>
      </w:r>
      <w:proofErr w:type="gramEnd"/>
      <w:r>
        <w:t xml:space="preserve"> 1: 4 or more) and the MEEK technique have been proposed to make better use of available skin, but also require time for re-epithelialization of the interstices between the grafted areas, during which time these areas need to be protected from dehydration and microbial colonization. Cultured epithelial grafts also take about 3 weeks to be cultured, and although recently an affordable technique has been developed, long-term results remain poor.</w:t>
      </w:r>
      <w:r w:rsidRPr="00ED1246">
        <w:t xml:space="preserve"> </w:t>
      </w:r>
      <w:r>
        <w:t xml:space="preserve">In our environment, cadaver skin is rarely offered, and the high rates of HIV/AIDS preclude the use of amniotic membrane as a temporizing dressing. Spray-on skin cells (suspended epithelial cells) are an alternative for these patients .Two techniques are in the manner in which the skin cells are separated, i.e. either enzymatically (using trypsin, </w:t>
      </w:r>
      <w:proofErr w:type="spellStart"/>
      <w:r>
        <w:t>ReCell</w:t>
      </w:r>
      <w:proofErr w:type="spellEnd"/>
      <w:r>
        <w:rPr>
          <w:rFonts w:cstheme="minorHAnsi"/>
        </w:rPr>
        <w:t>®</w:t>
      </w:r>
      <w:r>
        <w:t>) or mechanically (</w:t>
      </w:r>
      <w:proofErr w:type="spellStart"/>
      <w:r>
        <w:t>Rigenera</w:t>
      </w:r>
      <w:proofErr w:type="spellEnd"/>
      <w:r>
        <w:rPr>
          <w:rFonts w:cstheme="minorHAnsi"/>
        </w:rPr>
        <w:t>®</w:t>
      </w:r>
      <w:r>
        <w:t>).Problem with the use of spray-on cells has been that when the cells are suspended in a low-viscosity solution such as normal saline, they tend to be spread unevenly over the surface to be grafted, while there may be a significant graft loss, as cells float off the wound with the medium and end up on the towels.</w:t>
      </w:r>
    </w:p>
    <w:p w14:paraId="756877AC" w14:textId="08E364D2" w:rsidR="000425EC" w:rsidRDefault="000425EC" w:rsidP="00ED1246">
      <w:pPr>
        <w:pStyle w:val="NoSpacing"/>
      </w:pPr>
      <w:r>
        <w:t xml:space="preserve">We recently developed a technique in which spray-on cells are combined with platelet-rich fibrin, in order to increase the yield of grafted cells in patients in which this technique is </w:t>
      </w:r>
      <w:proofErr w:type="gramStart"/>
      <w:r>
        <w:t>used  with</w:t>
      </w:r>
      <w:proofErr w:type="gramEnd"/>
      <w:r>
        <w:t xml:space="preserve"> the </w:t>
      </w:r>
      <w:proofErr w:type="spellStart"/>
      <w:r>
        <w:t>Vivostat</w:t>
      </w:r>
      <w:proofErr w:type="spellEnd"/>
      <w:r>
        <w:rPr>
          <w:rFonts w:cs="Calibri"/>
        </w:rPr>
        <w:t>® system</w:t>
      </w:r>
      <w:r>
        <w:t xml:space="preserve"> (</w:t>
      </w:r>
      <w:proofErr w:type="spellStart"/>
      <w:r>
        <w:t>Vivostat</w:t>
      </w:r>
      <w:proofErr w:type="spellEnd"/>
      <w:r>
        <w:t xml:space="preserve"> A/S, </w:t>
      </w:r>
      <w:proofErr w:type="spellStart"/>
      <w:r>
        <w:t>Liller</w:t>
      </w:r>
      <w:r>
        <w:rPr>
          <w:rFonts w:cs="Calibri"/>
        </w:rPr>
        <w:t>ø</w:t>
      </w:r>
      <w:r>
        <w:t>d</w:t>
      </w:r>
      <w:proofErr w:type="spellEnd"/>
      <w:r>
        <w:t>, Denmark).</w:t>
      </w:r>
    </w:p>
    <w:p w14:paraId="169F78B9" w14:textId="77777777" w:rsidR="000425EC" w:rsidRDefault="000425EC" w:rsidP="00ED1246">
      <w:pPr>
        <w:pStyle w:val="NoSpacing"/>
      </w:pPr>
    </w:p>
    <w:p w14:paraId="0BD4302D" w14:textId="177BF143" w:rsidR="000425EC" w:rsidRDefault="000425EC" w:rsidP="006764CA">
      <w:pPr>
        <w:pStyle w:val="NoSpacing"/>
      </w:pPr>
      <w:r>
        <w:t>We feel that the results of PRF/Spray-on skin are sufficiently promising to warrant setting up a randomized trial and setting one up.</w:t>
      </w:r>
    </w:p>
    <w:p w14:paraId="3B6AD0AC" w14:textId="77777777" w:rsidR="000425EC" w:rsidRDefault="000425EC" w:rsidP="00ED1246">
      <w:pPr>
        <w:pStyle w:val="NoSpacing"/>
      </w:pPr>
    </w:p>
    <w:sectPr w:rsidR="000425EC" w:rsidSect="00ED124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46"/>
    <w:rsid w:val="000425EC"/>
    <w:rsid w:val="00343925"/>
    <w:rsid w:val="006764CA"/>
    <w:rsid w:val="00ED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A4B5"/>
  <w15:chartTrackingRefBased/>
  <w15:docId w15:val="{CB69EB2A-E5B5-4F00-8F61-D13C0FA9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12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Andreone</dc:creator>
  <cp:keywords/>
  <dc:description/>
  <cp:lastModifiedBy>Alex Andreone</cp:lastModifiedBy>
  <cp:revision>3</cp:revision>
  <dcterms:created xsi:type="dcterms:W3CDTF">2018-05-15T08:16:00Z</dcterms:created>
  <dcterms:modified xsi:type="dcterms:W3CDTF">2018-05-16T13:02:00Z</dcterms:modified>
</cp:coreProperties>
</file>