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FB3F96" w:rsidRDefault="003B290B" w:rsidP="00494130">
      <w:pPr>
        <w:pStyle w:val="Heading1"/>
        <w:spacing w:before="170"/>
        <w:ind w:left="0"/>
        <w:rPr>
          <w:color w:val="000000" w:themeColor="text1"/>
        </w:rPr>
      </w:pPr>
      <w:proofErr w:type="spellStart"/>
      <w:r w:rsidRPr="00FB3F96">
        <w:rPr>
          <w:color w:val="000000" w:themeColor="text1"/>
        </w:rPr>
        <w:t>Cyclodextrin</w:t>
      </w:r>
      <w:proofErr w:type="spellEnd"/>
      <w:r w:rsidRPr="00FB3F96">
        <w:rPr>
          <w:color w:val="000000" w:themeColor="text1"/>
        </w:rPr>
        <w:t xml:space="preserve"> Biomaterials for Delivery of Active Ingredients</w:t>
      </w:r>
    </w:p>
    <w:p w:rsidR="00AE3E37" w:rsidRPr="00215E73" w:rsidRDefault="003B290B" w:rsidP="00215E73">
      <w:pPr>
        <w:pStyle w:val="BodyText"/>
        <w:spacing w:before="73" w:line="198" w:lineRule="exact"/>
        <w:ind w:left="100" w:right="5987"/>
        <w:rPr>
          <w:rFonts w:ascii="Arial"/>
        </w:rPr>
      </w:pPr>
      <w:r>
        <w:rPr>
          <w:rFonts w:ascii="Arial"/>
        </w:rPr>
        <w:t>Baghali G. Mathapa,</w:t>
      </w:r>
      <w:r w:rsidR="005973B9">
        <w:rPr>
          <w:rFonts w:ascii="Arial"/>
        </w:rPr>
        <w:t xml:space="preserve"> PhD, </w:t>
      </w:r>
      <w:r>
        <w:rPr>
          <w:rFonts w:ascii="Arial"/>
        </w:rPr>
        <w:t>Botswana University of Agriculture and Natural Resources</w:t>
      </w:r>
      <w:r w:rsidR="005973B9">
        <w:rPr>
          <w:rFonts w:ascii="Arial"/>
        </w:rPr>
        <w:t xml:space="preserve">, </w:t>
      </w:r>
      <w:r>
        <w:rPr>
          <w:rFonts w:ascii="Arial"/>
        </w:rPr>
        <w:t>Gaborone, Botswana</w:t>
      </w:r>
      <w:r w:rsidR="005973B9">
        <w:rPr>
          <w:rFonts w:ascii="Arial"/>
        </w:rPr>
        <w:t xml:space="preserve"> </w:t>
      </w:r>
      <w:proofErr w:type="spellStart"/>
      <w:r>
        <w:rPr>
          <w:rFonts w:ascii="Arial"/>
        </w:rPr>
        <w:t>Vesselin</w:t>
      </w:r>
      <w:proofErr w:type="spellEnd"/>
      <w:r>
        <w:rPr>
          <w:rFonts w:ascii="Arial"/>
        </w:rPr>
        <w:t xml:space="preserve"> N. </w:t>
      </w:r>
      <w:proofErr w:type="spellStart"/>
      <w:r>
        <w:rPr>
          <w:rFonts w:ascii="Arial"/>
        </w:rPr>
        <w:t>Paunov</w:t>
      </w:r>
      <w:proofErr w:type="spellEnd"/>
      <w:r>
        <w:rPr>
          <w:rFonts w:ascii="Arial"/>
        </w:rPr>
        <w:t xml:space="preserve">, </w:t>
      </w:r>
      <w:r w:rsidR="005973B9">
        <w:rPr>
          <w:rFonts w:ascii="Arial"/>
        </w:rPr>
        <w:t xml:space="preserve">PhD, </w:t>
      </w:r>
      <w:r>
        <w:rPr>
          <w:rFonts w:ascii="Arial"/>
        </w:rPr>
        <w:t>The University of Hull</w:t>
      </w:r>
      <w:r w:rsidR="005973B9">
        <w:rPr>
          <w:rFonts w:ascii="Arial"/>
        </w:rPr>
        <w:t xml:space="preserve">, </w:t>
      </w:r>
      <w:r>
        <w:rPr>
          <w:rFonts w:ascii="Arial"/>
        </w:rPr>
        <w:t>UK</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6B755A" w:rsidRDefault="00A9710C">
      <w:pPr>
        <w:pStyle w:val="Heading3"/>
        <w:spacing w:before="147"/>
        <w:jc w:val="both"/>
        <w:rPr>
          <w:color w:val="000000" w:themeColor="text1"/>
        </w:rPr>
      </w:pPr>
      <w:r w:rsidRPr="006B755A">
        <w:rPr>
          <w:color w:val="000000" w:themeColor="text1"/>
        </w:rPr>
        <w:lastRenderedPageBreak/>
        <w:t>Abstract</w:t>
      </w:r>
      <w:r w:rsidR="003B290B" w:rsidRPr="006B755A">
        <w:rPr>
          <w:color w:val="000000" w:themeColor="text1"/>
        </w:rPr>
        <w:t xml:space="preserve"> </w:t>
      </w:r>
    </w:p>
    <w:p w:rsidR="00AE3E37" w:rsidRDefault="003B290B" w:rsidP="006B755A">
      <w:pPr>
        <w:jc w:val="both"/>
        <w:rPr>
          <w:spacing w:val="-5"/>
          <w:shd w:val="clear" w:color="auto" w:fill="FFFFFF"/>
        </w:rPr>
      </w:pPr>
      <w:proofErr w:type="spellStart"/>
      <w:r>
        <w:t>Cyclodextrin</w:t>
      </w:r>
      <w:r w:rsidR="008C5942">
        <w:t>s</w:t>
      </w:r>
      <w:proofErr w:type="spellEnd"/>
      <w:r>
        <w:t xml:space="preserve"> </w:t>
      </w:r>
      <w:r w:rsidR="008C5942">
        <w:t>are “bucket-shaped” molecules derived from</w:t>
      </w:r>
      <w:r>
        <w:t xml:space="preserve"> starch with ability to form </w:t>
      </w:r>
      <w:r w:rsidR="008C5942">
        <w:t xml:space="preserve">host-guest </w:t>
      </w:r>
      <w:r>
        <w:t xml:space="preserve">inclusion complexes </w:t>
      </w:r>
      <w:r w:rsidR="008C5942">
        <w:t>with hydrophobic molecule</w:t>
      </w:r>
      <w:r w:rsidR="00B641E0">
        <w:t>s</w:t>
      </w:r>
      <w:r w:rsidR="008C5942">
        <w:t xml:space="preserve"> of the right sizes. For this reasons, </w:t>
      </w:r>
      <w:proofErr w:type="spellStart"/>
      <w:r w:rsidR="008C5942">
        <w:t>cyclodextrins</w:t>
      </w:r>
      <w:proofErr w:type="spellEnd"/>
      <w:r w:rsidR="008C5942">
        <w:t xml:space="preserve"> find applications in a wide range of every day formulation</w:t>
      </w:r>
      <w:r w:rsidR="00A4083C">
        <w:t>s</w:t>
      </w:r>
      <w:r w:rsidR="008C5942">
        <w:t xml:space="preserve"> as </w:t>
      </w:r>
      <w:proofErr w:type="spellStart"/>
      <w:r w:rsidR="008C5942">
        <w:t>nano</w:t>
      </w:r>
      <w:proofErr w:type="spellEnd"/>
      <w:r w:rsidR="008C5942">
        <w:t xml:space="preserve">-carriers of active ingredients. On the other hand, yeast cells have also been explored as micro-encapsulating materials. Combining </w:t>
      </w:r>
      <w:proofErr w:type="spellStart"/>
      <w:r w:rsidR="008C5942">
        <w:t>cyclodextrin</w:t>
      </w:r>
      <w:proofErr w:type="spellEnd"/>
      <w:r w:rsidR="008C5942">
        <w:t xml:space="preserve"> and yeast cells </w:t>
      </w:r>
      <w:r w:rsidR="00A4083C">
        <w:t>has potential to reduce the toxicity</w:t>
      </w:r>
      <w:r w:rsidR="00A4083C">
        <w:t xml:space="preserve"> in microencapsulation technology hence improving the well-being of consumers.</w:t>
      </w:r>
      <w:r w:rsidR="008C5942">
        <w:t xml:space="preserve"> </w:t>
      </w:r>
      <w:r w:rsidR="00A4083C">
        <w:t xml:space="preserve">These two </w:t>
      </w:r>
      <w:r w:rsidR="00DF0F7D">
        <w:t>materials</w:t>
      </w:r>
      <w:r w:rsidR="00A4083C">
        <w:t xml:space="preserve"> </w:t>
      </w:r>
      <w:r w:rsidR="00DF0F7D">
        <w:t>are food grade and combing them will have a synergic effects which will improve their performance</w:t>
      </w:r>
      <w:r w:rsidR="00400380">
        <w:t xml:space="preserve">. </w:t>
      </w:r>
      <w:r w:rsidRPr="003B290B">
        <w:rPr>
          <w:spacing w:val="-5"/>
          <w:shd w:val="clear" w:color="auto" w:fill="FFFFFF"/>
        </w:rPr>
        <w:t xml:space="preserve">Two alternative approaches for surface functionalization of </w:t>
      </w:r>
      <w:r w:rsidRPr="003B290B">
        <w:rPr>
          <w:rStyle w:val="italic"/>
          <w:i/>
          <w:iCs/>
          <w:spacing w:val="-5"/>
          <w:shd w:val="clear" w:color="auto" w:fill="FFFFFF"/>
        </w:rPr>
        <w:t xml:space="preserve">Saccharomyces </w:t>
      </w:r>
      <w:proofErr w:type="spellStart"/>
      <w:r w:rsidRPr="003B290B">
        <w:rPr>
          <w:rStyle w:val="italic"/>
          <w:i/>
          <w:iCs/>
          <w:spacing w:val="-5"/>
          <w:shd w:val="clear" w:color="auto" w:fill="FFFFFF"/>
        </w:rPr>
        <w:t>cerevisiae</w:t>
      </w:r>
      <w:proofErr w:type="spellEnd"/>
      <w:r w:rsidRPr="003B290B">
        <w:rPr>
          <w:spacing w:val="-5"/>
          <w:shd w:val="clear" w:color="auto" w:fill="FFFFFF"/>
        </w:rPr>
        <w:t xml:space="preserve"> cells with </w:t>
      </w:r>
      <w:proofErr w:type="spellStart"/>
      <w:r w:rsidRPr="003B290B">
        <w:rPr>
          <w:spacing w:val="-5"/>
          <w:shd w:val="clear" w:color="auto" w:fill="FFFFFF"/>
        </w:rPr>
        <w:t>cyclodextrin</w:t>
      </w:r>
      <w:proofErr w:type="spellEnd"/>
      <w:r w:rsidRPr="003B290B">
        <w:rPr>
          <w:spacing w:val="-5"/>
          <w:shd w:val="clear" w:color="auto" w:fill="FFFFFF"/>
        </w:rPr>
        <w:t xml:space="preserve"> molecules without affecting the cell viability are presented. In the first strategy, </w:t>
      </w:r>
      <w:proofErr w:type="spellStart"/>
      <w:r w:rsidRPr="003B290B">
        <w:rPr>
          <w:spacing w:val="-5"/>
          <w:shd w:val="clear" w:color="auto" w:fill="FFFFFF"/>
        </w:rPr>
        <w:t>cyclodextrin</w:t>
      </w:r>
      <w:proofErr w:type="spellEnd"/>
      <w:r w:rsidRPr="003B290B">
        <w:rPr>
          <w:spacing w:val="-5"/>
          <w:shd w:val="clear" w:color="auto" w:fill="FFFFFF"/>
        </w:rPr>
        <w:t xml:space="preserve"> molecules were covalently attached to the glycoproteins on the cell wall using </w:t>
      </w:r>
      <w:proofErr w:type="spellStart"/>
      <w:r w:rsidRPr="003B290B">
        <w:rPr>
          <w:spacing w:val="-5"/>
          <w:shd w:val="clear" w:color="auto" w:fill="FFFFFF"/>
        </w:rPr>
        <w:t>epichlorohydrin</w:t>
      </w:r>
      <w:proofErr w:type="spellEnd"/>
      <w:r w:rsidRPr="003B290B">
        <w:rPr>
          <w:spacing w:val="-5"/>
          <w:shd w:val="clear" w:color="auto" w:fill="FFFFFF"/>
        </w:rPr>
        <w:t xml:space="preserve"> as a cross-linking agent. The second strategy of interfacing of the cells with CD involved alternating layer by layer deposition of </w:t>
      </w:r>
      <w:proofErr w:type="spellStart"/>
      <w:r w:rsidRPr="003B290B">
        <w:rPr>
          <w:spacing w:val="-5"/>
          <w:shd w:val="clear" w:color="auto" w:fill="FFFFFF"/>
        </w:rPr>
        <w:t>cyclodextrin</w:t>
      </w:r>
      <w:proofErr w:type="spellEnd"/>
      <w:r w:rsidRPr="003B290B">
        <w:rPr>
          <w:spacing w:val="-5"/>
          <w:shd w:val="clear" w:color="auto" w:fill="FFFFFF"/>
        </w:rPr>
        <w:t xml:space="preserve"> </w:t>
      </w:r>
      <w:proofErr w:type="spellStart"/>
      <w:r w:rsidRPr="003B290B">
        <w:rPr>
          <w:spacing w:val="-5"/>
          <w:shd w:val="clear" w:color="auto" w:fill="FFFFFF"/>
        </w:rPr>
        <w:t>sulphate</w:t>
      </w:r>
      <w:proofErr w:type="spellEnd"/>
      <w:r w:rsidRPr="003B290B">
        <w:rPr>
          <w:spacing w:val="-5"/>
          <w:shd w:val="clear" w:color="auto" w:fill="FFFFFF"/>
        </w:rPr>
        <w:t xml:space="preserve"> and </w:t>
      </w:r>
      <w:proofErr w:type="spellStart"/>
      <w:r w:rsidRPr="003B290B">
        <w:rPr>
          <w:spacing w:val="-5"/>
          <w:shd w:val="clear" w:color="auto" w:fill="FFFFFF"/>
        </w:rPr>
        <w:t>polyallylamine</w:t>
      </w:r>
      <w:proofErr w:type="spellEnd"/>
      <w:r w:rsidRPr="003B290B">
        <w:rPr>
          <w:spacing w:val="-5"/>
          <w:shd w:val="clear" w:color="auto" w:fill="FFFFFF"/>
        </w:rPr>
        <w:t xml:space="preserve"> (PAH) on the cell surface. The formation of host–guest inclusion complexes of a dye with the grafted </w:t>
      </w:r>
      <w:proofErr w:type="spellStart"/>
      <w:r w:rsidRPr="003B290B">
        <w:rPr>
          <w:spacing w:val="-5"/>
          <w:shd w:val="clear" w:color="auto" w:fill="FFFFFF"/>
        </w:rPr>
        <w:t>cyclodextrins</w:t>
      </w:r>
      <w:proofErr w:type="spellEnd"/>
      <w:r w:rsidRPr="003B290B">
        <w:rPr>
          <w:spacing w:val="-5"/>
          <w:shd w:val="clear" w:color="auto" w:fill="FFFFFF"/>
        </w:rPr>
        <w:t xml:space="preserve"> was used to estimate the average number of CD molecules grafted per cell. The information generated indicated that more than one monolayer of CDs on the cell surface within the surface layer surrounding the yeast cell membrane. Fluorescein </w:t>
      </w:r>
      <w:proofErr w:type="spellStart"/>
      <w:r w:rsidRPr="003B290B">
        <w:rPr>
          <w:spacing w:val="-5"/>
          <w:shd w:val="clear" w:color="auto" w:fill="FFFFFF"/>
        </w:rPr>
        <w:t>diacetate</w:t>
      </w:r>
      <w:proofErr w:type="spellEnd"/>
      <w:r w:rsidRPr="003B290B">
        <w:rPr>
          <w:spacing w:val="-5"/>
          <w:shd w:val="clear" w:color="auto" w:fill="FFFFFF"/>
        </w:rPr>
        <w:t xml:space="preserve"> was used to check the viability of the cells after </w:t>
      </w:r>
      <w:proofErr w:type="spellStart"/>
      <w:r w:rsidRPr="003B290B">
        <w:rPr>
          <w:spacing w:val="-5"/>
          <w:shd w:val="clear" w:color="auto" w:fill="FFFFFF"/>
        </w:rPr>
        <w:t>functionalisation</w:t>
      </w:r>
      <w:proofErr w:type="spellEnd"/>
      <w:r w:rsidRPr="003B290B">
        <w:rPr>
          <w:spacing w:val="-5"/>
          <w:shd w:val="clear" w:color="auto" w:fill="FFFFFF"/>
        </w:rPr>
        <w:t xml:space="preserve">. Living cells </w:t>
      </w:r>
      <w:proofErr w:type="spellStart"/>
      <w:r w:rsidRPr="003B290B">
        <w:rPr>
          <w:spacing w:val="-5"/>
          <w:shd w:val="clear" w:color="auto" w:fill="FFFFFF"/>
        </w:rPr>
        <w:t>functionalised</w:t>
      </w:r>
      <w:proofErr w:type="spellEnd"/>
      <w:r w:rsidRPr="003B290B">
        <w:rPr>
          <w:spacing w:val="-5"/>
          <w:shd w:val="clear" w:color="auto" w:fill="FFFFFF"/>
        </w:rPr>
        <w:t xml:space="preserve"> with CDs may find many potential applications as they can be loaded with drugs, </w:t>
      </w:r>
      <w:proofErr w:type="spellStart"/>
      <w:r w:rsidRPr="003B290B">
        <w:rPr>
          <w:spacing w:val="-5"/>
          <w:shd w:val="clear" w:color="auto" w:fill="FFFFFF"/>
        </w:rPr>
        <w:t>immunosuppressants</w:t>
      </w:r>
      <w:proofErr w:type="spellEnd"/>
      <w:r w:rsidRPr="003B290B">
        <w:rPr>
          <w:spacing w:val="-5"/>
          <w:shd w:val="clear" w:color="auto" w:fill="FFFFFF"/>
        </w:rPr>
        <w:t xml:space="preserve"> and other molecules forming inclusion complexes with their </w:t>
      </w:r>
      <w:proofErr w:type="spellStart"/>
      <w:r w:rsidRPr="003B290B">
        <w:rPr>
          <w:spacing w:val="-5"/>
          <w:shd w:val="clear" w:color="auto" w:fill="FFFFFF"/>
        </w:rPr>
        <w:t>cyclodextrin</w:t>
      </w:r>
      <w:proofErr w:type="spellEnd"/>
      <w:r w:rsidRPr="003B290B">
        <w:rPr>
          <w:spacing w:val="-5"/>
          <w:shd w:val="clear" w:color="auto" w:fill="FFFFFF"/>
        </w:rPr>
        <w:t xml:space="preserve"> interface. Therefore, such cells can be used as selective </w:t>
      </w:r>
      <w:proofErr w:type="spellStart"/>
      <w:r w:rsidRPr="003B290B">
        <w:rPr>
          <w:spacing w:val="-5"/>
          <w:shd w:val="clear" w:color="auto" w:fill="FFFFFF"/>
        </w:rPr>
        <w:t>biosorbents</w:t>
      </w:r>
      <w:proofErr w:type="spellEnd"/>
      <w:r w:rsidRPr="003B290B">
        <w:rPr>
          <w:spacing w:val="-5"/>
          <w:shd w:val="clear" w:color="auto" w:fill="FFFFFF"/>
        </w:rPr>
        <w:t xml:space="preserve"> in polluted waters, drug delivery, cell therapy and cell implant applications.</w:t>
      </w:r>
    </w:p>
    <w:p w:rsidR="009A2803" w:rsidRDefault="009A2803" w:rsidP="006B755A">
      <w:pPr>
        <w:jc w:val="both"/>
      </w:pPr>
      <w:bookmarkStart w:id="0" w:name="_GoBack"/>
      <w:bookmarkEnd w:id="0"/>
    </w:p>
    <w:p w:rsidR="00F4589B" w:rsidRDefault="00EA5452" w:rsidP="00F4589B">
      <w:pPr>
        <w:pStyle w:val="BodyText"/>
        <w:keepNext/>
        <w:spacing w:before="2"/>
      </w:pPr>
      <w:r>
        <w:rPr>
          <w:rFonts w:ascii="Arial"/>
          <w:b/>
          <w:noProof/>
          <w:sz w:val="16"/>
        </w:rPr>
        <w:lastRenderedPageBreak/>
        <w:drawing>
          <wp:inline distT="0" distB="0" distL="0" distR="0" wp14:anchorId="40ABD7ED" wp14:editId="1B87780A">
            <wp:extent cx="3276600" cy="2757997"/>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HEMETAIC FOR EP ATTACHEMENT.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79652" cy="2760566"/>
                    </a:xfrm>
                    <a:prstGeom prst="rect">
                      <a:avLst/>
                    </a:prstGeom>
                  </pic:spPr>
                </pic:pic>
              </a:graphicData>
            </a:graphic>
          </wp:inline>
        </w:drawing>
      </w:r>
    </w:p>
    <w:p w:rsidR="005973B9" w:rsidRPr="00F4589B" w:rsidRDefault="00F4589B" w:rsidP="00F4589B">
      <w:pPr>
        <w:pStyle w:val="Caption"/>
        <w:rPr>
          <w:rFonts w:ascii="Arial"/>
          <w:b/>
          <w:color w:val="000000" w:themeColor="text1"/>
          <w:sz w:val="16"/>
        </w:rPr>
      </w:pPr>
      <w:r w:rsidRPr="00F4589B">
        <w:rPr>
          <w:color w:val="000000" w:themeColor="text1"/>
        </w:rPr>
        <w:t xml:space="preserve">Figure </w:t>
      </w:r>
      <w:r w:rsidRPr="00F4589B">
        <w:rPr>
          <w:color w:val="000000" w:themeColor="text1"/>
        </w:rPr>
        <w:fldChar w:fldCharType="begin"/>
      </w:r>
      <w:r w:rsidRPr="00F4589B">
        <w:rPr>
          <w:color w:val="000000" w:themeColor="text1"/>
        </w:rPr>
        <w:instrText xml:space="preserve"> SEQ Figure \* ARABIC </w:instrText>
      </w:r>
      <w:r w:rsidRPr="00F4589B">
        <w:rPr>
          <w:color w:val="000000" w:themeColor="text1"/>
        </w:rPr>
        <w:fldChar w:fldCharType="separate"/>
      </w:r>
      <w:r w:rsidRPr="00F4589B">
        <w:rPr>
          <w:noProof/>
          <w:color w:val="000000" w:themeColor="text1"/>
        </w:rPr>
        <w:t>1</w:t>
      </w:r>
      <w:r w:rsidRPr="00F4589B">
        <w:rPr>
          <w:color w:val="000000" w:themeColor="text1"/>
        </w:rPr>
        <w:fldChar w:fldCharType="end"/>
      </w:r>
      <w:r w:rsidRPr="00F4589B">
        <w:rPr>
          <w:color w:val="000000" w:themeColor="text1"/>
        </w:rPr>
        <w:t xml:space="preserve">: </w:t>
      </w:r>
      <w:r w:rsidRPr="00F4589B">
        <w:rPr>
          <w:rStyle w:val="graphictitle"/>
          <w:rFonts w:ascii="museo-sans" w:hAnsi="museo-sans"/>
          <w:color w:val="000000" w:themeColor="text1"/>
          <w:spacing w:val="-5"/>
          <w:shd w:val="clear" w:color="auto" w:fill="FFFFFF"/>
        </w:rPr>
        <w:t xml:space="preserve">(A) Cross-linking reactions of living cells with </w:t>
      </w:r>
      <w:proofErr w:type="spellStart"/>
      <w:r w:rsidRPr="00F4589B">
        <w:rPr>
          <w:rStyle w:val="graphictitle"/>
          <w:rFonts w:ascii="museo-sans" w:hAnsi="museo-sans"/>
          <w:color w:val="000000" w:themeColor="text1"/>
          <w:spacing w:val="-5"/>
          <w:shd w:val="clear" w:color="auto" w:fill="FFFFFF"/>
        </w:rPr>
        <w:t>cyclodextrins</w:t>
      </w:r>
      <w:proofErr w:type="spellEnd"/>
      <w:r w:rsidRPr="00F4589B">
        <w:rPr>
          <w:rStyle w:val="graphictitle"/>
          <w:rFonts w:ascii="museo-sans" w:hAnsi="museo-sans"/>
          <w:color w:val="000000" w:themeColor="text1"/>
          <w:spacing w:val="-5"/>
          <w:shd w:val="clear" w:color="auto" w:fill="FFFFFF"/>
        </w:rPr>
        <w:t xml:space="preserve"> (CDs) and </w:t>
      </w:r>
      <w:proofErr w:type="spellStart"/>
      <w:r w:rsidRPr="00F4589B">
        <w:rPr>
          <w:rStyle w:val="graphictitle"/>
          <w:rFonts w:ascii="museo-sans" w:hAnsi="museo-sans"/>
          <w:color w:val="000000" w:themeColor="text1"/>
          <w:spacing w:val="-5"/>
          <w:shd w:val="clear" w:color="auto" w:fill="FFFFFF"/>
        </w:rPr>
        <w:t>epichlorohydrin</w:t>
      </w:r>
      <w:proofErr w:type="spellEnd"/>
      <w:r w:rsidRPr="00F4589B">
        <w:rPr>
          <w:rStyle w:val="graphictitle"/>
          <w:rFonts w:ascii="museo-sans" w:hAnsi="museo-sans"/>
          <w:color w:val="000000" w:themeColor="text1"/>
          <w:spacing w:val="-5"/>
          <w:shd w:val="clear" w:color="auto" w:fill="FFFFFF"/>
        </w:rPr>
        <w:t xml:space="preserve"> (EP). (B) Fabrication steps of living CD-</w:t>
      </w:r>
      <w:proofErr w:type="spellStart"/>
      <w:r w:rsidRPr="00F4589B">
        <w:rPr>
          <w:rStyle w:val="graphictitle"/>
          <w:rFonts w:ascii="museo-sans" w:hAnsi="museo-sans"/>
          <w:color w:val="000000" w:themeColor="text1"/>
          <w:spacing w:val="-5"/>
          <w:shd w:val="clear" w:color="auto" w:fill="FFFFFF"/>
        </w:rPr>
        <w:t>functionalised</w:t>
      </w:r>
      <w:proofErr w:type="spellEnd"/>
      <w:r w:rsidRPr="00F4589B">
        <w:rPr>
          <w:rStyle w:val="graphictitle"/>
          <w:rFonts w:ascii="museo-sans" w:hAnsi="museo-sans"/>
          <w:color w:val="000000" w:themeColor="text1"/>
          <w:spacing w:val="-5"/>
          <w:shd w:val="clear" w:color="auto" w:fill="FFFFFF"/>
        </w:rPr>
        <w:t xml:space="preserve"> cyborg cells loaded with drugs or </w:t>
      </w:r>
      <w:proofErr w:type="spellStart"/>
      <w:r w:rsidRPr="00F4589B">
        <w:rPr>
          <w:rStyle w:val="graphictitle"/>
          <w:rFonts w:ascii="museo-sans" w:hAnsi="museo-sans"/>
          <w:color w:val="000000" w:themeColor="text1"/>
          <w:spacing w:val="-5"/>
          <w:shd w:val="clear" w:color="auto" w:fill="FFFFFF"/>
        </w:rPr>
        <w:t>immunosuppressants</w:t>
      </w:r>
      <w:proofErr w:type="spellEnd"/>
      <w:r w:rsidR="00CE33DC">
        <w:rPr>
          <w:rFonts w:ascii="Arial"/>
          <w:b/>
          <w:color w:val="BF5A14"/>
          <w:sz w:val="20"/>
        </w:rPr>
        <w:br/>
      </w:r>
      <w:r w:rsidR="00CE33DC" w:rsidRPr="006B755A">
        <w:rPr>
          <w:rFonts w:ascii="Arial"/>
          <w:b/>
          <w:color w:val="000000" w:themeColor="text1"/>
          <w:sz w:val="20"/>
        </w:rPr>
        <w:t>Recent Publications</w:t>
      </w:r>
    </w:p>
    <w:p w:rsidR="005973B9" w:rsidRPr="00CE33DC" w:rsidRDefault="00CE33DC" w:rsidP="005973B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sidRPr="00CE33DC">
        <w:rPr>
          <w:rFonts w:asciiTheme="minorHAnsi" w:hAnsiTheme="minorHAnsi" w:cstheme="minorHAnsi"/>
          <w:sz w:val="18"/>
          <w:szCs w:val="18"/>
        </w:rPr>
        <w:t>Baghali G. Mathapa</w:t>
      </w:r>
      <w:r w:rsidRPr="00CE33DC">
        <w:rPr>
          <w:rFonts w:asciiTheme="minorHAnsi" w:hAnsiTheme="minorHAnsi" w:cstheme="minorHAnsi"/>
          <w:i/>
          <w:iCs/>
          <w:sz w:val="18"/>
          <w:szCs w:val="18"/>
        </w:rPr>
        <w:t xml:space="preserve"> </w:t>
      </w:r>
      <w:r w:rsidRPr="00CE33DC">
        <w:rPr>
          <w:rFonts w:asciiTheme="minorHAnsi" w:hAnsiTheme="minorHAnsi" w:cstheme="minorHAnsi"/>
          <w:sz w:val="18"/>
          <w:szCs w:val="18"/>
        </w:rPr>
        <w:t xml:space="preserve">and </w:t>
      </w:r>
      <w:proofErr w:type="spellStart"/>
      <w:r w:rsidRPr="00CE33DC">
        <w:rPr>
          <w:rFonts w:asciiTheme="minorHAnsi" w:hAnsiTheme="minorHAnsi" w:cstheme="minorHAnsi"/>
          <w:sz w:val="18"/>
          <w:szCs w:val="18"/>
        </w:rPr>
        <w:t>Vesselin</w:t>
      </w:r>
      <w:proofErr w:type="spellEnd"/>
      <w:r w:rsidRPr="00CE33DC">
        <w:rPr>
          <w:rFonts w:asciiTheme="minorHAnsi" w:hAnsiTheme="minorHAnsi" w:cstheme="minorHAnsi"/>
          <w:sz w:val="18"/>
          <w:szCs w:val="18"/>
        </w:rPr>
        <w:t xml:space="preserve"> N. </w:t>
      </w:r>
      <w:proofErr w:type="spellStart"/>
      <w:r w:rsidRPr="00CE33DC">
        <w:rPr>
          <w:rFonts w:asciiTheme="minorHAnsi" w:hAnsiTheme="minorHAnsi" w:cstheme="minorHAnsi"/>
          <w:sz w:val="18"/>
          <w:szCs w:val="18"/>
        </w:rPr>
        <w:t>Paunov</w:t>
      </w:r>
      <w:proofErr w:type="spellEnd"/>
      <w:r w:rsidRPr="00CE33DC">
        <w:rPr>
          <w:rFonts w:asciiTheme="minorHAnsi" w:hAnsiTheme="minorHAnsi" w:cstheme="minorHAnsi"/>
          <w:sz w:val="18"/>
          <w:szCs w:val="18"/>
        </w:rPr>
        <w:t xml:space="preserve"> (2014). ‘Fabrication of viable cyborg cells with </w:t>
      </w:r>
      <w:proofErr w:type="spellStart"/>
      <w:r w:rsidRPr="00CE33DC">
        <w:rPr>
          <w:rFonts w:asciiTheme="minorHAnsi" w:hAnsiTheme="minorHAnsi" w:cstheme="minorHAnsi"/>
          <w:sz w:val="18"/>
          <w:szCs w:val="18"/>
        </w:rPr>
        <w:t>cyclodextrin</w:t>
      </w:r>
      <w:proofErr w:type="spellEnd"/>
      <w:r w:rsidRPr="00CE33DC">
        <w:rPr>
          <w:rFonts w:asciiTheme="minorHAnsi" w:hAnsiTheme="minorHAnsi" w:cstheme="minorHAnsi"/>
          <w:sz w:val="18"/>
          <w:szCs w:val="18"/>
        </w:rPr>
        <w:t xml:space="preserve"> functionality’. </w:t>
      </w:r>
      <w:r w:rsidRPr="00CE33DC">
        <w:rPr>
          <w:rFonts w:asciiTheme="minorHAnsi" w:hAnsiTheme="minorHAnsi" w:cstheme="minorHAnsi"/>
          <w:i/>
          <w:sz w:val="18"/>
          <w:szCs w:val="18"/>
        </w:rPr>
        <w:t>Biomaterials Science</w:t>
      </w:r>
      <w:r w:rsidRPr="00CE33DC">
        <w:rPr>
          <w:rFonts w:asciiTheme="minorHAnsi" w:hAnsiTheme="minorHAnsi" w:cstheme="minorHAnsi"/>
          <w:sz w:val="18"/>
          <w:szCs w:val="18"/>
        </w:rPr>
        <w:t>. Vol. 2 (2): 212-219.</w:t>
      </w:r>
    </w:p>
    <w:p w:rsidR="005973B9" w:rsidRPr="00CE33DC" w:rsidRDefault="00CE33DC"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CE33DC">
        <w:rPr>
          <w:rFonts w:asciiTheme="minorHAnsi" w:hAnsiTheme="minorHAnsi" w:cstheme="minorHAnsi"/>
          <w:sz w:val="18"/>
          <w:szCs w:val="18"/>
        </w:rPr>
        <w:t>Baghali G. Mathapa</w:t>
      </w:r>
      <w:r w:rsidRPr="00CE33DC">
        <w:rPr>
          <w:rFonts w:asciiTheme="minorHAnsi" w:hAnsiTheme="minorHAnsi" w:cstheme="minorHAnsi"/>
          <w:i/>
          <w:iCs/>
          <w:sz w:val="18"/>
          <w:szCs w:val="18"/>
          <w:vertAlign w:val="superscript"/>
        </w:rPr>
        <w:t xml:space="preserve"> </w:t>
      </w:r>
      <w:r w:rsidRPr="00CE33DC">
        <w:rPr>
          <w:rFonts w:asciiTheme="minorHAnsi" w:hAnsiTheme="minorHAnsi" w:cstheme="minorHAnsi"/>
          <w:sz w:val="18"/>
          <w:szCs w:val="18"/>
        </w:rPr>
        <w:t xml:space="preserve">and </w:t>
      </w:r>
      <w:proofErr w:type="spellStart"/>
      <w:r w:rsidRPr="00CE33DC">
        <w:rPr>
          <w:rFonts w:asciiTheme="minorHAnsi" w:hAnsiTheme="minorHAnsi" w:cstheme="minorHAnsi"/>
          <w:sz w:val="18"/>
          <w:szCs w:val="18"/>
        </w:rPr>
        <w:t>Vesselin</w:t>
      </w:r>
      <w:proofErr w:type="spellEnd"/>
      <w:r w:rsidRPr="00CE33DC">
        <w:rPr>
          <w:rFonts w:asciiTheme="minorHAnsi" w:hAnsiTheme="minorHAnsi" w:cstheme="minorHAnsi"/>
          <w:sz w:val="18"/>
          <w:szCs w:val="18"/>
        </w:rPr>
        <w:t xml:space="preserve"> N. </w:t>
      </w:r>
      <w:proofErr w:type="spellStart"/>
      <w:r w:rsidRPr="00CE33DC">
        <w:rPr>
          <w:rFonts w:asciiTheme="minorHAnsi" w:hAnsiTheme="minorHAnsi" w:cstheme="minorHAnsi"/>
          <w:sz w:val="18"/>
          <w:szCs w:val="18"/>
        </w:rPr>
        <w:t>Paunov</w:t>
      </w:r>
      <w:proofErr w:type="spellEnd"/>
      <w:r w:rsidRPr="00CE33DC">
        <w:rPr>
          <w:rFonts w:asciiTheme="minorHAnsi" w:hAnsiTheme="minorHAnsi" w:cstheme="minorHAnsi"/>
          <w:sz w:val="18"/>
          <w:szCs w:val="18"/>
        </w:rPr>
        <w:t xml:space="preserve"> (2013).</w:t>
      </w:r>
      <w:r w:rsidRPr="00CE33DC">
        <w:rPr>
          <w:rFonts w:asciiTheme="minorHAnsi" w:eastAsia="Times New Roman" w:hAnsiTheme="minorHAnsi" w:cstheme="minorHAnsi"/>
          <w:sz w:val="18"/>
          <w:szCs w:val="18"/>
          <w:lang w:eastAsia="en-GB"/>
        </w:rPr>
        <w:t xml:space="preserve"> ‘</w:t>
      </w:r>
      <w:proofErr w:type="spellStart"/>
      <w:r w:rsidRPr="00CE33DC">
        <w:rPr>
          <w:rFonts w:asciiTheme="minorHAnsi" w:hAnsiTheme="minorHAnsi" w:cstheme="minorHAnsi"/>
          <w:sz w:val="18"/>
          <w:szCs w:val="18"/>
        </w:rPr>
        <w:t>Cyclodextrin</w:t>
      </w:r>
      <w:proofErr w:type="spellEnd"/>
      <w:r w:rsidRPr="00CE33DC">
        <w:rPr>
          <w:rFonts w:asciiTheme="minorHAnsi" w:hAnsiTheme="minorHAnsi" w:cstheme="minorHAnsi"/>
          <w:sz w:val="18"/>
          <w:szCs w:val="18"/>
        </w:rPr>
        <w:t xml:space="preserve"> stabilized emulsions and </w:t>
      </w:r>
      <w:proofErr w:type="spellStart"/>
      <w:r w:rsidRPr="00CE33DC">
        <w:rPr>
          <w:rFonts w:asciiTheme="minorHAnsi" w:hAnsiTheme="minorHAnsi" w:cstheme="minorHAnsi"/>
          <w:sz w:val="18"/>
          <w:szCs w:val="18"/>
        </w:rPr>
        <w:t>cyclodextrinosomes</w:t>
      </w:r>
      <w:proofErr w:type="spellEnd"/>
      <w:r w:rsidRPr="00CE33DC">
        <w:rPr>
          <w:rFonts w:asciiTheme="minorHAnsi" w:hAnsiTheme="minorHAnsi" w:cstheme="minorHAnsi"/>
          <w:sz w:val="18"/>
          <w:szCs w:val="18"/>
        </w:rPr>
        <w:t>’</w:t>
      </w:r>
      <w:r w:rsidRPr="00CE33DC">
        <w:rPr>
          <w:rFonts w:asciiTheme="minorHAnsi" w:eastAsia="Times New Roman" w:hAnsiTheme="minorHAnsi" w:cstheme="minorHAnsi"/>
          <w:sz w:val="18"/>
          <w:szCs w:val="18"/>
          <w:lang w:eastAsia="en-GB"/>
        </w:rPr>
        <w:t xml:space="preserve">. </w:t>
      </w:r>
      <w:r w:rsidRPr="00CE33DC">
        <w:rPr>
          <w:rFonts w:asciiTheme="minorHAnsi" w:hAnsiTheme="minorHAnsi" w:cstheme="minorHAnsi"/>
          <w:i/>
          <w:sz w:val="18"/>
          <w:szCs w:val="18"/>
        </w:rPr>
        <w:t>Physical Chemistry Chemical Physics</w:t>
      </w:r>
      <w:r w:rsidRPr="00CE33DC">
        <w:rPr>
          <w:rFonts w:asciiTheme="minorHAnsi" w:hAnsiTheme="minorHAnsi" w:cstheme="minorHAnsi"/>
          <w:sz w:val="18"/>
          <w:szCs w:val="18"/>
        </w:rPr>
        <w:t>. Vol. 15 (41): 17903-17914</w:t>
      </w:r>
      <w:r w:rsidR="005973B9" w:rsidRPr="00CE33DC">
        <w:rPr>
          <w:rFonts w:asciiTheme="minorHAnsi" w:hAnsiTheme="minorHAnsi" w:cstheme="minorHAnsi"/>
          <w:sz w:val="18"/>
          <w:szCs w:val="18"/>
        </w:rPr>
        <w:t>.</w:t>
      </w:r>
    </w:p>
    <w:p w:rsidR="005973B9" w:rsidRPr="00CE33DC" w:rsidRDefault="00CE33DC" w:rsidP="005973B9">
      <w:pPr>
        <w:pStyle w:val="ListParagraph"/>
        <w:numPr>
          <w:ilvl w:val="0"/>
          <w:numId w:val="3"/>
        </w:numPr>
        <w:tabs>
          <w:tab w:val="left" w:pos="384"/>
        </w:tabs>
        <w:spacing w:line="216" w:lineRule="exact"/>
        <w:ind w:right="138" w:hanging="283"/>
        <w:rPr>
          <w:rFonts w:asciiTheme="minorHAnsi" w:hAnsiTheme="minorHAnsi" w:cstheme="minorHAnsi"/>
          <w:sz w:val="18"/>
          <w:szCs w:val="18"/>
        </w:rPr>
      </w:pPr>
      <w:r w:rsidRPr="00CE33DC">
        <w:rPr>
          <w:rFonts w:asciiTheme="minorHAnsi" w:hAnsiTheme="minorHAnsi" w:cstheme="minorHAnsi"/>
          <w:sz w:val="18"/>
          <w:szCs w:val="18"/>
        </w:rPr>
        <w:t>Baghali G. Mathapa</w:t>
      </w:r>
      <w:r w:rsidRPr="00CE33DC">
        <w:rPr>
          <w:rFonts w:asciiTheme="minorHAnsi" w:hAnsiTheme="minorHAnsi" w:cstheme="minorHAnsi"/>
          <w:i/>
          <w:iCs/>
          <w:sz w:val="18"/>
          <w:szCs w:val="18"/>
          <w:vertAlign w:val="superscript"/>
        </w:rPr>
        <w:t xml:space="preserve"> </w:t>
      </w:r>
      <w:r w:rsidRPr="00CE33DC">
        <w:rPr>
          <w:rFonts w:asciiTheme="minorHAnsi" w:hAnsiTheme="minorHAnsi" w:cstheme="minorHAnsi"/>
          <w:sz w:val="18"/>
          <w:szCs w:val="18"/>
        </w:rPr>
        <w:t xml:space="preserve">and </w:t>
      </w:r>
      <w:proofErr w:type="spellStart"/>
      <w:r w:rsidRPr="00CE33DC">
        <w:rPr>
          <w:rFonts w:asciiTheme="minorHAnsi" w:hAnsiTheme="minorHAnsi" w:cstheme="minorHAnsi"/>
          <w:sz w:val="18"/>
          <w:szCs w:val="18"/>
        </w:rPr>
        <w:t>Vesselin</w:t>
      </w:r>
      <w:proofErr w:type="spellEnd"/>
      <w:r w:rsidRPr="00CE33DC">
        <w:rPr>
          <w:rFonts w:asciiTheme="minorHAnsi" w:hAnsiTheme="minorHAnsi" w:cstheme="minorHAnsi"/>
          <w:sz w:val="18"/>
          <w:szCs w:val="18"/>
        </w:rPr>
        <w:t xml:space="preserve"> N. </w:t>
      </w:r>
      <w:proofErr w:type="spellStart"/>
      <w:r w:rsidRPr="00CE33DC">
        <w:rPr>
          <w:rFonts w:asciiTheme="minorHAnsi" w:hAnsiTheme="minorHAnsi" w:cstheme="minorHAnsi"/>
          <w:sz w:val="18"/>
          <w:szCs w:val="18"/>
        </w:rPr>
        <w:t>Paunov</w:t>
      </w:r>
      <w:proofErr w:type="spellEnd"/>
      <w:r w:rsidRPr="00CE33DC">
        <w:rPr>
          <w:rFonts w:asciiTheme="minorHAnsi" w:hAnsiTheme="minorHAnsi" w:cstheme="minorHAnsi"/>
          <w:sz w:val="18"/>
          <w:szCs w:val="18"/>
        </w:rPr>
        <w:t xml:space="preserve"> (2013). ‘Self-assembly of </w:t>
      </w:r>
      <w:proofErr w:type="spellStart"/>
      <w:r w:rsidRPr="00CE33DC">
        <w:rPr>
          <w:rFonts w:asciiTheme="minorHAnsi" w:hAnsiTheme="minorHAnsi" w:cstheme="minorHAnsi"/>
          <w:sz w:val="18"/>
          <w:szCs w:val="18"/>
        </w:rPr>
        <w:t>cyclodextrin</w:t>
      </w:r>
      <w:proofErr w:type="spellEnd"/>
      <w:r w:rsidRPr="00CE33DC">
        <w:rPr>
          <w:rFonts w:asciiTheme="minorHAnsi" w:hAnsiTheme="minorHAnsi" w:cstheme="minorHAnsi"/>
          <w:sz w:val="18"/>
          <w:szCs w:val="18"/>
        </w:rPr>
        <w:t xml:space="preserve">–oil inclusion complexes at the oil–water interface: a route to surfactant-free emulsions’. </w:t>
      </w:r>
      <w:r w:rsidRPr="00CE33DC">
        <w:rPr>
          <w:rFonts w:asciiTheme="minorHAnsi" w:hAnsiTheme="minorHAnsi" w:cstheme="minorHAnsi"/>
          <w:i/>
          <w:sz w:val="18"/>
          <w:szCs w:val="18"/>
        </w:rPr>
        <w:t xml:space="preserve">Journal of Materials Chemistry A. </w:t>
      </w:r>
      <w:r w:rsidRPr="00CE33DC">
        <w:rPr>
          <w:rFonts w:asciiTheme="minorHAnsi" w:hAnsiTheme="minorHAnsi" w:cstheme="minorHAnsi"/>
          <w:sz w:val="18"/>
          <w:szCs w:val="18"/>
        </w:rPr>
        <w:t>Vol.</w:t>
      </w:r>
      <w:r w:rsidRPr="00CE33DC">
        <w:rPr>
          <w:rFonts w:asciiTheme="minorHAnsi" w:hAnsiTheme="minorHAnsi" w:cstheme="minorHAnsi"/>
          <w:i/>
          <w:sz w:val="18"/>
          <w:szCs w:val="18"/>
        </w:rPr>
        <w:t xml:space="preserve"> </w:t>
      </w:r>
      <w:r w:rsidRPr="00CE33DC">
        <w:rPr>
          <w:rFonts w:asciiTheme="minorHAnsi" w:hAnsiTheme="minorHAnsi" w:cstheme="minorHAnsi"/>
          <w:sz w:val="18"/>
          <w:szCs w:val="18"/>
        </w:rPr>
        <w:t>1 (36): 10836-10846</w:t>
      </w:r>
      <w:r w:rsidR="005973B9" w:rsidRPr="00CE33DC">
        <w:rPr>
          <w:rFonts w:asciiTheme="minorHAnsi" w:hAnsiTheme="minorHAnsi" w:cstheme="minorHAnsi"/>
          <w:sz w:val="18"/>
          <w:szCs w:val="18"/>
        </w:rPr>
        <w:t>.</w:t>
      </w:r>
    </w:p>
    <w:p w:rsidR="00CE33DC" w:rsidRPr="00CE33DC" w:rsidRDefault="00CE33DC" w:rsidP="00CE33DC">
      <w:pPr>
        <w:pStyle w:val="ListParagraph"/>
        <w:numPr>
          <w:ilvl w:val="0"/>
          <w:numId w:val="3"/>
        </w:numPr>
        <w:rPr>
          <w:rFonts w:asciiTheme="minorHAnsi" w:hAnsiTheme="minorHAnsi" w:cstheme="minorHAnsi"/>
          <w:sz w:val="18"/>
          <w:szCs w:val="18"/>
        </w:rPr>
      </w:pPr>
      <w:r w:rsidRPr="00CE33DC">
        <w:rPr>
          <w:rFonts w:asciiTheme="minorHAnsi" w:hAnsiTheme="minorHAnsi" w:cstheme="minorHAnsi"/>
          <w:sz w:val="18"/>
          <w:szCs w:val="18"/>
        </w:rPr>
        <w:t>Baghali G. Mathapa</w:t>
      </w:r>
      <w:r w:rsidRPr="00CE33DC">
        <w:rPr>
          <w:rFonts w:asciiTheme="minorHAnsi" w:hAnsiTheme="minorHAnsi" w:cstheme="minorHAnsi"/>
          <w:i/>
          <w:iCs/>
          <w:sz w:val="18"/>
          <w:szCs w:val="18"/>
          <w:vertAlign w:val="superscript"/>
        </w:rPr>
        <w:t xml:space="preserve"> </w:t>
      </w:r>
      <w:r w:rsidRPr="00CE33DC">
        <w:rPr>
          <w:rFonts w:asciiTheme="minorHAnsi" w:hAnsiTheme="minorHAnsi" w:cstheme="minorHAnsi"/>
          <w:sz w:val="18"/>
          <w:szCs w:val="18"/>
        </w:rPr>
        <w:t xml:space="preserve">and </w:t>
      </w:r>
      <w:proofErr w:type="spellStart"/>
      <w:r w:rsidRPr="00CE33DC">
        <w:rPr>
          <w:rFonts w:asciiTheme="minorHAnsi" w:hAnsiTheme="minorHAnsi" w:cstheme="minorHAnsi"/>
          <w:sz w:val="18"/>
          <w:szCs w:val="18"/>
        </w:rPr>
        <w:t>Vesselin</w:t>
      </w:r>
      <w:proofErr w:type="spellEnd"/>
      <w:r w:rsidRPr="00CE33DC">
        <w:rPr>
          <w:rFonts w:asciiTheme="minorHAnsi" w:hAnsiTheme="minorHAnsi" w:cstheme="minorHAnsi"/>
          <w:sz w:val="18"/>
          <w:szCs w:val="18"/>
        </w:rPr>
        <w:t xml:space="preserve"> N. </w:t>
      </w:r>
      <w:proofErr w:type="spellStart"/>
      <w:r w:rsidRPr="00CE33DC">
        <w:rPr>
          <w:rFonts w:asciiTheme="minorHAnsi" w:hAnsiTheme="minorHAnsi" w:cstheme="minorHAnsi"/>
          <w:sz w:val="18"/>
          <w:szCs w:val="18"/>
        </w:rPr>
        <w:t>Paunov</w:t>
      </w:r>
      <w:proofErr w:type="spellEnd"/>
      <w:r w:rsidRPr="00CE33DC">
        <w:rPr>
          <w:rFonts w:asciiTheme="minorHAnsi" w:hAnsiTheme="minorHAnsi" w:cstheme="minorHAnsi"/>
          <w:sz w:val="18"/>
          <w:szCs w:val="18"/>
        </w:rPr>
        <w:t xml:space="preserve"> (2013). ‘</w:t>
      </w:r>
      <w:proofErr w:type="spellStart"/>
      <w:r w:rsidRPr="00CE33DC">
        <w:rPr>
          <w:rFonts w:asciiTheme="minorHAnsi" w:hAnsiTheme="minorHAnsi" w:cstheme="minorHAnsi"/>
          <w:bCs/>
          <w:sz w:val="18"/>
          <w:szCs w:val="18"/>
        </w:rPr>
        <w:t>Nanoporous</w:t>
      </w:r>
      <w:proofErr w:type="spellEnd"/>
      <w:r w:rsidRPr="00CE33DC">
        <w:rPr>
          <w:rFonts w:asciiTheme="minorHAnsi" w:hAnsiTheme="minorHAnsi" w:cstheme="minorHAnsi"/>
          <w:bCs/>
          <w:sz w:val="18"/>
          <w:szCs w:val="18"/>
        </w:rPr>
        <w:t xml:space="preserve"> </w:t>
      </w:r>
      <w:proofErr w:type="spellStart"/>
      <w:r w:rsidRPr="00CE33DC">
        <w:rPr>
          <w:rFonts w:asciiTheme="minorHAnsi" w:hAnsiTheme="minorHAnsi" w:cstheme="minorHAnsi"/>
          <w:bCs/>
          <w:sz w:val="18"/>
          <w:szCs w:val="18"/>
        </w:rPr>
        <w:t>cyclodextrin</w:t>
      </w:r>
      <w:proofErr w:type="spellEnd"/>
      <w:r w:rsidRPr="00CE33DC">
        <w:rPr>
          <w:rFonts w:asciiTheme="minorHAnsi" w:hAnsiTheme="minorHAnsi" w:cstheme="minorHAnsi"/>
          <w:bCs/>
          <w:sz w:val="18"/>
          <w:szCs w:val="18"/>
        </w:rPr>
        <w:t>-based co-polymer microspheres for encapsulation of active components’.</w:t>
      </w:r>
      <w:r w:rsidRPr="00CE33DC">
        <w:rPr>
          <w:rFonts w:asciiTheme="minorHAnsi" w:hAnsiTheme="minorHAnsi" w:cstheme="minorHAnsi"/>
          <w:sz w:val="18"/>
          <w:szCs w:val="18"/>
        </w:rPr>
        <w:t xml:space="preserve"> </w:t>
      </w:r>
      <w:r w:rsidRPr="00CE33DC">
        <w:rPr>
          <w:rFonts w:asciiTheme="minorHAnsi" w:hAnsiTheme="minorHAnsi" w:cstheme="minorHAnsi"/>
          <w:i/>
          <w:sz w:val="18"/>
          <w:szCs w:val="18"/>
        </w:rPr>
        <w:t>Journal of Materials Chemistry B</w:t>
      </w:r>
      <w:r w:rsidRPr="00CE33DC">
        <w:rPr>
          <w:rFonts w:asciiTheme="minorHAnsi" w:hAnsiTheme="minorHAnsi" w:cstheme="minorHAnsi"/>
          <w:sz w:val="18"/>
          <w:szCs w:val="18"/>
        </w:rPr>
        <w:t xml:space="preserve">. Vol. 1 (29): 3588-3598. </w:t>
      </w:r>
    </w:p>
    <w:p w:rsidR="00AE3E37" w:rsidRPr="00EA5452" w:rsidRDefault="005973B9" w:rsidP="00EA5452">
      <w:pPr>
        <w:pStyle w:val="BodyText"/>
        <w:spacing w:before="85" w:line="216" w:lineRule="exact"/>
        <w:ind w:left="383" w:right="138" w:hanging="284"/>
        <w:jc w:val="both"/>
        <w:rPr>
          <w:rFonts w:ascii="Calibri" w:hAnsi="Calibri"/>
        </w:rPr>
      </w:pPr>
      <w:r>
        <w:rPr>
          <w:rFonts w:ascii="Calibri" w:hAnsi="Calibri"/>
        </w:rPr>
        <w:t xml:space="preserve">5. </w:t>
      </w:r>
      <w:r w:rsidR="00CE33DC" w:rsidRPr="00CE33DC">
        <w:rPr>
          <w:rFonts w:asciiTheme="minorHAnsi" w:eastAsia="Times New Roman" w:hAnsiTheme="minorHAnsi" w:cstheme="minorHAnsi"/>
          <w:bCs/>
          <w:color w:val="000000" w:themeColor="text1"/>
          <w:lang w:eastAsia="en-GB"/>
        </w:rPr>
        <w:t>Baghali G</w:t>
      </w:r>
      <w:r w:rsidR="00CE33DC" w:rsidRPr="00CE33DC">
        <w:rPr>
          <w:rFonts w:asciiTheme="minorHAnsi" w:eastAsia="Times New Roman" w:hAnsiTheme="minorHAnsi" w:cstheme="minorHAnsi"/>
          <w:color w:val="000000" w:themeColor="text1"/>
          <w:lang w:eastAsia="en-GB"/>
        </w:rPr>
        <w:t xml:space="preserve">. </w:t>
      </w:r>
      <w:r w:rsidR="00CE33DC" w:rsidRPr="00CE33DC">
        <w:rPr>
          <w:rFonts w:asciiTheme="minorHAnsi" w:eastAsia="Times New Roman" w:hAnsiTheme="minorHAnsi" w:cstheme="minorHAnsi"/>
          <w:bCs/>
          <w:color w:val="000000" w:themeColor="text1"/>
          <w:lang w:eastAsia="en-GB"/>
        </w:rPr>
        <w:t>Mathapa</w:t>
      </w:r>
      <w:r w:rsidR="00CE33DC" w:rsidRPr="00CE33DC">
        <w:rPr>
          <w:rFonts w:asciiTheme="minorHAnsi" w:eastAsia="Times New Roman" w:hAnsiTheme="minorHAnsi" w:cstheme="minorHAnsi"/>
          <w:color w:val="000000" w:themeColor="text1"/>
          <w:lang w:eastAsia="en-GB"/>
        </w:rPr>
        <w:t xml:space="preserve"> and </w:t>
      </w:r>
      <w:proofErr w:type="spellStart"/>
      <w:r w:rsidR="00CE33DC" w:rsidRPr="00CE33DC">
        <w:rPr>
          <w:rFonts w:asciiTheme="minorHAnsi" w:eastAsia="Times New Roman" w:hAnsiTheme="minorHAnsi" w:cstheme="minorHAnsi"/>
          <w:color w:val="000000" w:themeColor="text1"/>
          <w:lang w:eastAsia="en-GB"/>
        </w:rPr>
        <w:t>Vesselin</w:t>
      </w:r>
      <w:proofErr w:type="spellEnd"/>
      <w:r w:rsidR="00CE33DC" w:rsidRPr="00CE33DC">
        <w:rPr>
          <w:rFonts w:asciiTheme="minorHAnsi" w:eastAsia="Times New Roman" w:hAnsiTheme="minorHAnsi" w:cstheme="minorHAnsi"/>
          <w:color w:val="000000" w:themeColor="text1"/>
          <w:lang w:eastAsia="en-GB"/>
        </w:rPr>
        <w:t xml:space="preserve"> N. </w:t>
      </w:r>
      <w:proofErr w:type="spellStart"/>
      <w:r w:rsidR="00CE33DC" w:rsidRPr="00CE33DC">
        <w:rPr>
          <w:rFonts w:asciiTheme="minorHAnsi" w:eastAsia="Times New Roman" w:hAnsiTheme="minorHAnsi" w:cstheme="minorHAnsi"/>
          <w:color w:val="000000" w:themeColor="text1"/>
          <w:lang w:eastAsia="en-GB"/>
        </w:rPr>
        <w:t>Paunov</w:t>
      </w:r>
      <w:proofErr w:type="spellEnd"/>
      <w:r w:rsidR="00CE33DC" w:rsidRPr="00CE33DC">
        <w:rPr>
          <w:rFonts w:asciiTheme="minorHAnsi" w:eastAsia="Times New Roman" w:hAnsiTheme="minorHAnsi" w:cstheme="minorHAnsi"/>
          <w:color w:val="000000" w:themeColor="text1"/>
          <w:lang w:eastAsia="en-GB"/>
        </w:rPr>
        <w:t xml:space="preserve"> (</w:t>
      </w:r>
      <w:r w:rsidR="00CE33DC" w:rsidRPr="00CE33DC">
        <w:rPr>
          <w:rFonts w:asciiTheme="minorHAnsi" w:eastAsia="Times New Roman" w:hAnsiTheme="minorHAnsi" w:cstheme="minorHAnsi"/>
          <w:lang w:eastAsia="en-GB"/>
        </w:rPr>
        <w:t>2013). ‘</w:t>
      </w:r>
      <w:r w:rsidR="00CE33DC" w:rsidRPr="00CE33DC">
        <w:rPr>
          <w:rFonts w:asciiTheme="minorHAnsi" w:hAnsiTheme="minorHAnsi" w:cstheme="minorHAnsi"/>
        </w:rPr>
        <w:t xml:space="preserve">Fabrication of novel </w:t>
      </w:r>
      <w:proofErr w:type="spellStart"/>
      <w:r w:rsidR="00CE33DC" w:rsidRPr="00CE33DC">
        <w:rPr>
          <w:rFonts w:asciiTheme="minorHAnsi" w:hAnsiTheme="minorHAnsi" w:cstheme="minorHAnsi"/>
        </w:rPr>
        <w:t>cyclodextrin-polyallylamine</w:t>
      </w:r>
      <w:proofErr w:type="spellEnd"/>
      <w:r w:rsidR="00CE33DC" w:rsidRPr="00CE33DC">
        <w:rPr>
          <w:rFonts w:asciiTheme="minorHAnsi" w:hAnsiTheme="minorHAnsi" w:cstheme="minorHAnsi"/>
        </w:rPr>
        <w:t xml:space="preserve"> hydrochloride co-polymeric microcapsules by </w:t>
      </w:r>
      <w:proofErr w:type="spellStart"/>
      <w:r w:rsidR="00CE33DC" w:rsidRPr="00CE33DC">
        <w:rPr>
          <w:rFonts w:asciiTheme="minorHAnsi" w:hAnsiTheme="minorHAnsi" w:cstheme="minorHAnsi"/>
        </w:rPr>
        <w:t>templating</w:t>
      </w:r>
      <w:proofErr w:type="spellEnd"/>
      <w:r w:rsidR="00CE33DC" w:rsidRPr="00CE33DC">
        <w:rPr>
          <w:rFonts w:asciiTheme="minorHAnsi" w:hAnsiTheme="minorHAnsi" w:cstheme="minorHAnsi"/>
        </w:rPr>
        <w:t xml:space="preserve"> oil-in-water emulsions’. </w:t>
      </w:r>
      <w:r w:rsidR="00CE33DC" w:rsidRPr="00CE33DC">
        <w:rPr>
          <w:rFonts w:asciiTheme="minorHAnsi" w:eastAsia="Times New Roman" w:hAnsiTheme="minorHAnsi" w:cstheme="minorHAnsi"/>
          <w:bCs/>
          <w:i/>
          <w:iCs/>
          <w:lang w:eastAsia="en-GB"/>
        </w:rPr>
        <w:t>Soft Matter</w:t>
      </w:r>
      <w:r w:rsidR="00CE33DC" w:rsidRPr="00CE33DC">
        <w:rPr>
          <w:rFonts w:asciiTheme="minorHAnsi" w:eastAsia="Times New Roman" w:hAnsiTheme="minorHAnsi" w:cstheme="minorHAnsi"/>
          <w:lang w:eastAsia="en-GB"/>
        </w:rPr>
        <w:t>. Vol. 9 (19):  4780-4788</w:t>
      </w:r>
      <w:r>
        <w:rPr>
          <w:rFonts w:ascii="Calibri" w:hAnsi="Calibri"/>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9A2803">
      <w:pPr>
        <w:pStyle w:val="BodyText"/>
        <w:rPr>
          <w:rFonts w:ascii="Calibri"/>
          <w:sz w:val="20"/>
        </w:rPr>
      </w:pPr>
      <w:r>
        <w:rPr>
          <w:rFonts w:ascii="Calibri"/>
          <w:noProof/>
          <w:sz w:val="20"/>
        </w:rPr>
        <w:lastRenderedPageBreak/>
        <w:drawing>
          <wp:inline distT="0" distB="0" distL="0" distR="0">
            <wp:extent cx="552747" cy="622288"/>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4291" cy="635284"/>
                    </a:xfrm>
                    <a:prstGeom prst="rect">
                      <a:avLst/>
                    </a:prstGeom>
                  </pic:spPr>
                </pic:pic>
              </a:graphicData>
            </a:graphic>
          </wp:inline>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365960C" wp14:editId="4B3A2D5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9AA86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6B755A" w:rsidRDefault="00A9710C" w:rsidP="00404E5B">
      <w:pPr>
        <w:spacing w:before="92"/>
        <w:ind w:right="4234"/>
        <w:rPr>
          <w:rFonts w:ascii="Arial"/>
          <w:b/>
        </w:rPr>
      </w:pPr>
      <w:r w:rsidRPr="006B755A">
        <w:rPr>
          <w:rFonts w:ascii="Arial"/>
          <w:b/>
        </w:rPr>
        <w:t>Biography</w:t>
      </w:r>
      <w:r w:rsidR="00404E5B" w:rsidRPr="006B755A">
        <w:rPr>
          <w:rFonts w:ascii="Arial"/>
          <w:b/>
        </w:rPr>
        <w:t xml:space="preserve"> </w:t>
      </w:r>
    </w:p>
    <w:p w:rsidR="00AE3E37" w:rsidRDefault="00EA5452">
      <w:pPr>
        <w:spacing w:before="41" w:line="154" w:lineRule="exact"/>
        <w:ind w:left="213" w:right="231"/>
        <w:jc w:val="both"/>
        <w:rPr>
          <w:rFonts w:ascii="Arial"/>
          <w:sz w:val="14"/>
        </w:rPr>
      </w:pPr>
      <w:r>
        <w:rPr>
          <w:rFonts w:ascii="Arial"/>
          <w:sz w:val="14"/>
        </w:rPr>
        <w:t xml:space="preserve">Baghali G. Mathapa is currently a senior chemistry lecturer at Botswana University of Agriculture and Natural resources. </w:t>
      </w:r>
      <w:r w:rsidR="00A44D33">
        <w:rPr>
          <w:rFonts w:ascii="Arial"/>
          <w:sz w:val="14"/>
        </w:rPr>
        <w:t xml:space="preserve">He holds </w:t>
      </w:r>
      <w:r>
        <w:rPr>
          <w:rFonts w:ascii="Arial"/>
          <w:sz w:val="14"/>
        </w:rPr>
        <w:t xml:space="preserve">BSc Chemistry </w:t>
      </w:r>
      <w:r w:rsidR="00A44D33">
        <w:rPr>
          <w:rFonts w:ascii="Arial"/>
          <w:sz w:val="14"/>
        </w:rPr>
        <w:t>and</w:t>
      </w:r>
      <w:r>
        <w:rPr>
          <w:rFonts w:ascii="Arial"/>
          <w:sz w:val="14"/>
        </w:rPr>
        <w:t xml:space="preserve"> MSc Physical Chemistry degree</w:t>
      </w:r>
      <w:r w:rsidR="00A44D33">
        <w:rPr>
          <w:rFonts w:ascii="Arial"/>
          <w:sz w:val="14"/>
        </w:rPr>
        <w:t>s</w:t>
      </w:r>
      <w:r>
        <w:rPr>
          <w:rFonts w:ascii="Arial"/>
          <w:sz w:val="14"/>
        </w:rPr>
        <w:t xml:space="preserve"> from the University of Botswana and a PhD in chemistry from The University of Hull, UK. His PhD studies was focused on</w:t>
      </w:r>
      <w:r w:rsidR="004B00D9">
        <w:rPr>
          <w:rFonts w:ascii="Arial"/>
          <w:sz w:val="14"/>
        </w:rPr>
        <w:t xml:space="preserve"> colloid and interface science with particular emphasis on</w:t>
      </w:r>
      <w:r>
        <w:rPr>
          <w:rFonts w:ascii="Arial"/>
          <w:sz w:val="14"/>
        </w:rPr>
        <w:t xml:space="preserve"> </w:t>
      </w:r>
      <w:proofErr w:type="spellStart"/>
      <w:r>
        <w:rPr>
          <w:rFonts w:ascii="Arial"/>
          <w:sz w:val="14"/>
        </w:rPr>
        <w:t>cyclodextrin</w:t>
      </w:r>
      <w:proofErr w:type="spellEnd"/>
      <w:r>
        <w:rPr>
          <w:rFonts w:ascii="Arial"/>
          <w:sz w:val="14"/>
        </w:rPr>
        <w:t xml:space="preserve"> materials for </w:t>
      </w:r>
      <w:r w:rsidR="004B00D9">
        <w:rPr>
          <w:rFonts w:ascii="Arial"/>
          <w:sz w:val="14"/>
        </w:rPr>
        <w:t>microencapsulation</w:t>
      </w:r>
      <w:r>
        <w:rPr>
          <w:rFonts w:ascii="Arial"/>
          <w:sz w:val="14"/>
        </w:rPr>
        <w:t xml:space="preserve"> of active components. His work involved synthesis and characterization of </w:t>
      </w:r>
      <w:proofErr w:type="spellStart"/>
      <w:r>
        <w:rPr>
          <w:rFonts w:ascii="Arial"/>
          <w:sz w:val="14"/>
        </w:rPr>
        <w:t>cyclodextrin</w:t>
      </w:r>
      <w:proofErr w:type="spellEnd"/>
      <w:r>
        <w:rPr>
          <w:rFonts w:ascii="Arial"/>
          <w:sz w:val="14"/>
        </w:rPr>
        <w:t xml:space="preserve"> based core</w:t>
      </w:r>
      <w:r w:rsidR="004B00D9">
        <w:rPr>
          <w:rFonts w:ascii="Arial"/>
          <w:sz w:val="14"/>
        </w:rPr>
        <w:t>-shell microcapsules, solid-</w:t>
      </w:r>
      <w:r>
        <w:rPr>
          <w:rFonts w:ascii="Arial"/>
          <w:sz w:val="14"/>
        </w:rPr>
        <w:t xml:space="preserve">core microcapsules, </w:t>
      </w:r>
      <w:proofErr w:type="spellStart"/>
      <w:r>
        <w:rPr>
          <w:rFonts w:ascii="Arial"/>
          <w:sz w:val="14"/>
        </w:rPr>
        <w:t>cyclodextrin</w:t>
      </w:r>
      <w:proofErr w:type="spellEnd"/>
      <w:r>
        <w:rPr>
          <w:rFonts w:ascii="Arial"/>
          <w:sz w:val="14"/>
        </w:rPr>
        <w:t xml:space="preserve"> </w:t>
      </w:r>
      <w:r w:rsidR="006F07F1">
        <w:rPr>
          <w:rFonts w:ascii="Arial"/>
          <w:sz w:val="14"/>
        </w:rPr>
        <w:t xml:space="preserve">based </w:t>
      </w:r>
      <w:proofErr w:type="spellStart"/>
      <w:r>
        <w:rPr>
          <w:rFonts w:ascii="Arial"/>
          <w:sz w:val="14"/>
        </w:rPr>
        <w:t>colloidosomes</w:t>
      </w:r>
      <w:proofErr w:type="spellEnd"/>
      <w:r w:rsidR="00901815">
        <w:rPr>
          <w:rFonts w:ascii="Arial"/>
          <w:sz w:val="14"/>
        </w:rPr>
        <w:t>,</w:t>
      </w:r>
      <w:r>
        <w:rPr>
          <w:rFonts w:ascii="Arial"/>
          <w:sz w:val="14"/>
        </w:rPr>
        <w:t xml:space="preserve"> surfactant free emulsions</w:t>
      </w:r>
      <w:r w:rsidR="00901815">
        <w:rPr>
          <w:rFonts w:ascii="Arial"/>
          <w:sz w:val="14"/>
        </w:rPr>
        <w:t xml:space="preserve"> and </w:t>
      </w:r>
      <w:proofErr w:type="spellStart"/>
      <w:r w:rsidR="00901815">
        <w:rPr>
          <w:rFonts w:ascii="Arial"/>
          <w:sz w:val="14"/>
        </w:rPr>
        <w:t>cyclodextrin</w:t>
      </w:r>
      <w:proofErr w:type="spellEnd"/>
      <w:r w:rsidR="00901815">
        <w:rPr>
          <w:rFonts w:ascii="Arial"/>
          <w:sz w:val="14"/>
        </w:rPr>
        <w:t xml:space="preserve"> cyborg cells</w:t>
      </w:r>
      <w:r>
        <w:rPr>
          <w:rFonts w:ascii="Arial"/>
          <w:sz w:val="14"/>
        </w:rPr>
        <w:t xml:space="preserve">. </w:t>
      </w:r>
    </w:p>
    <w:p w:rsidR="00AE3E37" w:rsidRPr="004B00D9" w:rsidRDefault="00A9710C" w:rsidP="004B00D9">
      <w:pPr>
        <w:spacing w:before="62"/>
        <w:ind w:left="4217" w:right="4235"/>
        <w:jc w:val="center"/>
        <w:rPr>
          <w:rFonts w:ascii="Arial"/>
          <w:sz w:val="14"/>
        </w:rPr>
      </w:pPr>
      <w:r>
        <w:rPr>
          <w:rFonts w:ascii="Arial"/>
          <w:sz w:val="14"/>
        </w:rPr>
        <w:t xml:space="preserve">Email: </w:t>
      </w:r>
      <w:hyperlink r:id="rId11" w:history="1">
        <w:r w:rsidR="004B00D9" w:rsidRPr="00A25388">
          <w:rPr>
            <w:rStyle w:val="Hyperlink"/>
            <w:rFonts w:ascii="Arial"/>
            <w:sz w:val="14"/>
          </w:rPr>
          <w:t>bmathapa@buan.ac.bw</w:t>
        </w:r>
      </w:hyperlink>
      <w:r w:rsidR="00292ED9">
        <w:rPr>
          <w:noProof/>
        </w:rPr>
        <mc:AlternateContent>
          <mc:Choice Requires="wps">
            <w:drawing>
              <wp:anchor distT="0" distB="0" distL="0" distR="0" simplePos="0" relativeHeight="1072" behindDoc="0" locked="0" layoutInCell="1" allowOverlap="1" wp14:anchorId="5924569B" wp14:editId="621B6FB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9C21D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6B755A">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E60" w:rsidRDefault="004E0E60">
      <w:r>
        <w:separator/>
      </w:r>
    </w:p>
  </w:endnote>
  <w:endnote w:type="continuationSeparator" w:id="0">
    <w:p w:rsidR="004E0E60" w:rsidRDefault="004E0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useo-sans">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E60" w:rsidRDefault="004E0E60">
      <w:r>
        <w:separator/>
      </w:r>
    </w:p>
  </w:footnote>
  <w:footnote w:type="continuationSeparator" w:id="0">
    <w:p w:rsidR="004E0E60" w:rsidRDefault="004E0E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15E73"/>
    <w:rsid w:val="002455EC"/>
    <w:rsid w:val="00292ED9"/>
    <w:rsid w:val="003B290B"/>
    <w:rsid w:val="00400380"/>
    <w:rsid w:val="00404E5B"/>
    <w:rsid w:val="00414F7B"/>
    <w:rsid w:val="004355DC"/>
    <w:rsid w:val="004749B4"/>
    <w:rsid w:val="00494130"/>
    <w:rsid w:val="004B00D9"/>
    <w:rsid w:val="004E0E60"/>
    <w:rsid w:val="004F3523"/>
    <w:rsid w:val="00533EED"/>
    <w:rsid w:val="005973B9"/>
    <w:rsid w:val="005B3A56"/>
    <w:rsid w:val="006060CE"/>
    <w:rsid w:val="0063497F"/>
    <w:rsid w:val="006B755A"/>
    <w:rsid w:val="006F07F1"/>
    <w:rsid w:val="00765EB8"/>
    <w:rsid w:val="00873DF0"/>
    <w:rsid w:val="008756E6"/>
    <w:rsid w:val="008A08B6"/>
    <w:rsid w:val="008C5942"/>
    <w:rsid w:val="00901815"/>
    <w:rsid w:val="009A2803"/>
    <w:rsid w:val="009B2D44"/>
    <w:rsid w:val="00A07E82"/>
    <w:rsid w:val="00A4083C"/>
    <w:rsid w:val="00A44D33"/>
    <w:rsid w:val="00A9710C"/>
    <w:rsid w:val="00AE3E37"/>
    <w:rsid w:val="00B21A57"/>
    <w:rsid w:val="00B641E0"/>
    <w:rsid w:val="00C33602"/>
    <w:rsid w:val="00CD6F55"/>
    <w:rsid w:val="00CE33DC"/>
    <w:rsid w:val="00DE3104"/>
    <w:rsid w:val="00DF0F7D"/>
    <w:rsid w:val="00E26B10"/>
    <w:rsid w:val="00EA5452"/>
    <w:rsid w:val="00F4589B"/>
    <w:rsid w:val="00F72B2F"/>
    <w:rsid w:val="00F72EEA"/>
    <w:rsid w:val="00F84CAE"/>
    <w:rsid w:val="00FB3F96"/>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737060-573E-494D-BAC1-367E32B6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italic">
    <w:name w:val="italic"/>
    <w:basedOn w:val="DefaultParagraphFont"/>
    <w:rsid w:val="003B290B"/>
  </w:style>
  <w:style w:type="paragraph" w:styleId="Caption">
    <w:name w:val="caption"/>
    <w:basedOn w:val="Normal"/>
    <w:next w:val="Normal"/>
    <w:uiPriority w:val="35"/>
    <w:unhideWhenUsed/>
    <w:qFormat/>
    <w:rsid w:val="00F4589B"/>
    <w:pPr>
      <w:spacing w:after="200"/>
    </w:pPr>
    <w:rPr>
      <w:i/>
      <w:iCs/>
      <w:color w:val="1F497D" w:themeColor="text2"/>
      <w:sz w:val="18"/>
      <w:szCs w:val="18"/>
    </w:rPr>
  </w:style>
  <w:style w:type="character" w:customStyle="1" w:styleId="graphictitle">
    <w:name w:val="graphic_title"/>
    <w:basedOn w:val="DefaultParagraphFont"/>
    <w:rsid w:val="00F45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mathapa@buan.ac.bw" TargetMode="Externa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617</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Baghali Mathapa</cp:lastModifiedBy>
  <cp:revision>2</cp:revision>
  <dcterms:created xsi:type="dcterms:W3CDTF">2018-10-11T09:30:00Z</dcterms:created>
  <dcterms:modified xsi:type="dcterms:W3CDTF">2018-10-11T09:30:00Z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