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86FB4" w14:textId="79C5390B" w:rsidR="006B3217" w:rsidRPr="00194BF9" w:rsidRDefault="006B3217" w:rsidP="00194BF9">
      <w:pPr>
        <w:spacing w:after="0" w:line="240" w:lineRule="auto"/>
        <w:jc w:val="center"/>
        <w:rPr>
          <w:rFonts w:ascii="Times New Roman" w:eastAsia="Tw Cen MT" w:hAnsi="Times New Roman" w:cs="Times New Roman"/>
          <w:b/>
          <w:sz w:val="24"/>
          <w:szCs w:val="24"/>
          <w:lang w:val="en-US"/>
        </w:rPr>
      </w:pPr>
      <w:r w:rsidRPr="00194BF9">
        <w:rPr>
          <w:rFonts w:ascii="Times New Roman" w:eastAsia="Tw Cen MT" w:hAnsi="Times New Roman" w:cs="Times New Roman"/>
          <w:b/>
          <w:sz w:val="24"/>
          <w:szCs w:val="24"/>
          <w:lang w:val="en-US"/>
        </w:rPr>
        <w:t xml:space="preserve">Title: </w:t>
      </w:r>
      <w:r w:rsidR="0072519A">
        <w:rPr>
          <w:rFonts w:ascii="Times New Roman" w:eastAsia="Tw Cen MT" w:hAnsi="Times New Roman" w:cs="Times New Roman"/>
          <w:b/>
          <w:sz w:val="24"/>
          <w:szCs w:val="24"/>
          <w:lang w:val="en-US"/>
        </w:rPr>
        <w:t>From Landfills to Power Plants: The Promises and Caveats of WtE in the Gulf</w:t>
      </w:r>
    </w:p>
    <w:p w14:paraId="1A521B25" w14:textId="77777777" w:rsidR="006B3217" w:rsidRPr="00194BF9" w:rsidRDefault="006B3217" w:rsidP="00194BF9">
      <w:pPr>
        <w:spacing w:after="0" w:line="240" w:lineRule="auto"/>
        <w:rPr>
          <w:rFonts w:ascii="Times New Roman" w:eastAsia="Tw Cen MT" w:hAnsi="Times New Roman" w:cs="Times New Roman"/>
          <w:b/>
          <w:sz w:val="24"/>
          <w:szCs w:val="24"/>
          <w:lang w:val="en-US"/>
        </w:rPr>
      </w:pPr>
    </w:p>
    <w:p w14:paraId="5AE80A3F" w14:textId="7AF0D8DA" w:rsidR="006B3217" w:rsidRPr="00194BF9" w:rsidRDefault="00F77D97" w:rsidP="00194BF9">
      <w:pPr>
        <w:spacing w:after="0" w:line="240" w:lineRule="auto"/>
        <w:jc w:val="center"/>
        <w:rPr>
          <w:rFonts w:ascii="Times New Roman" w:eastAsia="Tw Cen MT" w:hAnsi="Times New Roman" w:cs="Times New Roman"/>
          <w:sz w:val="24"/>
          <w:szCs w:val="24"/>
          <w:vertAlign w:val="superscript"/>
          <w:lang w:val="en-US"/>
        </w:rPr>
      </w:pPr>
      <w:r>
        <w:rPr>
          <w:rFonts w:ascii="Times New Roman" w:eastAsia="Tw Cen MT" w:hAnsi="Times New Roman" w:cs="Times New Roman"/>
          <w:sz w:val="24"/>
          <w:szCs w:val="24"/>
          <w:lang w:val="en-US"/>
        </w:rPr>
        <w:t>André Sleiman</w:t>
      </w:r>
      <w:r w:rsidR="0072519A">
        <w:rPr>
          <w:rFonts w:ascii="Times New Roman" w:eastAsia="Tw Cen MT" w:hAnsi="Times New Roman" w:cs="Times New Roman"/>
          <w:sz w:val="24"/>
          <w:szCs w:val="24"/>
          <w:lang w:val="en-US"/>
        </w:rPr>
        <w:t>, PhD</w:t>
      </w:r>
      <w:r w:rsidRPr="00F77D97">
        <w:rPr>
          <w:rFonts w:ascii="Times New Roman" w:eastAsia="Tw Cen MT" w:hAnsi="Times New Roman" w:cs="Times New Roman"/>
          <w:sz w:val="24"/>
          <w:szCs w:val="24"/>
          <w:vertAlign w:val="superscript"/>
          <w:lang w:val="en-US"/>
        </w:rPr>
        <w:t>1</w:t>
      </w:r>
    </w:p>
    <w:p w14:paraId="12DDE862" w14:textId="77777777" w:rsidR="006B3217" w:rsidRPr="00AF2CF0" w:rsidRDefault="006B3217" w:rsidP="00194BF9">
      <w:pPr>
        <w:spacing w:after="0" w:line="240" w:lineRule="auto"/>
        <w:jc w:val="center"/>
        <w:rPr>
          <w:rFonts w:ascii="Times New Roman" w:eastAsia="Tw Cen MT" w:hAnsi="Times New Roman" w:cs="Times New Roman"/>
          <w:i/>
          <w:sz w:val="24"/>
          <w:szCs w:val="24"/>
          <w:lang w:val="en-US"/>
        </w:rPr>
      </w:pPr>
    </w:p>
    <w:p w14:paraId="6628B4BE" w14:textId="66489024" w:rsidR="006B3217"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1</w:t>
      </w:r>
      <w:r w:rsidR="00F77D97">
        <w:rPr>
          <w:rFonts w:ascii="Times New Roman" w:eastAsia="Calibri" w:hAnsi="Times New Roman" w:cs="Times New Roman"/>
          <w:i/>
          <w:sz w:val="24"/>
          <w:szCs w:val="24"/>
          <w:lang w:val="en-US"/>
        </w:rPr>
        <w:t xml:space="preserve"> Roland Berger </w:t>
      </w:r>
      <w:r w:rsidR="0072519A">
        <w:rPr>
          <w:rFonts w:ascii="Times New Roman" w:eastAsia="Calibri" w:hAnsi="Times New Roman" w:cs="Times New Roman"/>
          <w:i/>
          <w:sz w:val="24"/>
          <w:szCs w:val="24"/>
          <w:lang w:val="en-US"/>
        </w:rPr>
        <w:t xml:space="preserve">Strategy Consultants </w:t>
      </w:r>
      <w:r w:rsidR="00F77D97">
        <w:rPr>
          <w:rFonts w:ascii="Times New Roman" w:eastAsia="Calibri" w:hAnsi="Times New Roman" w:cs="Times New Roman"/>
          <w:i/>
          <w:sz w:val="24"/>
          <w:szCs w:val="24"/>
          <w:lang w:val="en-US"/>
        </w:rPr>
        <w:t>Middle East, Director for Waste &amp; Circular Economy</w:t>
      </w:r>
    </w:p>
    <w:p w14:paraId="2B77FF79" w14:textId="77777777" w:rsidR="006B3217" w:rsidRPr="00194BF9" w:rsidRDefault="006B3217" w:rsidP="00194BF9">
      <w:pPr>
        <w:spacing w:after="0" w:line="240" w:lineRule="auto"/>
        <w:rPr>
          <w:rFonts w:ascii="Times New Roman" w:eastAsia="Calibri" w:hAnsi="Times New Roman" w:cs="Times New Roman"/>
          <w:sz w:val="24"/>
          <w:szCs w:val="24"/>
          <w:lang w:val="en-US"/>
        </w:rPr>
      </w:pPr>
    </w:p>
    <w:p w14:paraId="35909D26" w14:textId="77777777"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14:paraId="07E98CA1" w14:textId="77777777"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14:paraId="1D2E46FF" w14:textId="77777777" w:rsidR="00F77D97" w:rsidRPr="00F77D97" w:rsidRDefault="00F77D97" w:rsidP="00F77D97">
      <w:pPr>
        <w:spacing w:after="0" w:line="240" w:lineRule="auto"/>
        <w:rPr>
          <w:rFonts w:ascii="Times New Roman" w:eastAsia="Calibri" w:hAnsi="Times New Roman" w:cs="Times New Roman"/>
          <w:sz w:val="24"/>
          <w:szCs w:val="24"/>
          <w:lang w:val="en-US"/>
        </w:rPr>
      </w:pPr>
      <w:r w:rsidRPr="00F77D97">
        <w:rPr>
          <w:rFonts w:ascii="Times New Roman" w:eastAsia="Calibri" w:hAnsi="Times New Roman" w:cs="Times New Roman"/>
          <w:sz w:val="24"/>
          <w:szCs w:val="24"/>
          <w:lang w:val="en-US"/>
        </w:rPr>
        <w:t>Saudi Arabia, the UAE, and Qatar stand at the cusp of a transformative boom in waste‑to‑energy (WtE), driven by mounting waste generation, net‑zero ambitions, and diversification agendas. Together, they generate over 20 million tonnes of municipal solid waste annually, compelling policymakers to divert from landfills while tapping a new energy source. Saudi Arabia’s Vision 2030 aims to divert 90% of waste, with 16% converted to energy by 2040, while Qatar and the UAE already operate large facilities. These projects promise dual benefits: reducing landfill dependency and generating power for growing urban hubs.</w:t>
      </w:r>
    </w:p>
    <w:p w14:paraId="1366605C" w14:textId="77777777" w:rsidR="00F77D97" w:rsidRPr="00F77D97" w:rsidRDefault="00F77D97" w:rsidP="00F77D97">
      <w:pPr>
        <w:spacing w:after="0" w:line="240" w:lineRule="auto"/>
        <w:rPr>
          <w:rFonts w:ascii="Times New Roman" w:eastAsia="Calibri" w:hAnsi="Times New Roman" w:cs="Times New Roman"/>
          <w:sz w:val="24"/>
          <w:szCs w:val="24"/>
          <w:lang w:val="en-US"/>
        </w:rPr>
      </w:pPr>
    </w:p>
    <w:p w14:paraId="598B53FB" w14:textId="3DF1CED4" w:rsidR="00F77D97" w:rsidRPr="00F77D97" w:rsidRDefault="00F77D97" w:rsidP="00F77D97">
      <w:pPr>
        <w:spacing w:after="0" w:line="240" w:lineRule="auto"/>
        <w:rPr>
          <w:rFonts w:ascii="Times New Roman" w:eastAsia="Calibri" w:hAnsi="Times New Roman" w:cs="Times New Roman"/>
          <w:sz w:val="24"/>
          <w:szCs w:val="24"/>
          <w:lang w:val="en-US"/>
        </w:rPr>
      </w:pPr>
      <w:r w:rsidRPr="00F77D97">
        <w:rPr>
          <w:rFonts w:ascii="Times New Roman" w:eastAsia="Calibri" w:hAnsi="Times New Roman" w:cs="Times New Roman"/>
          <w:sz w:val="24"/>
          <w:szCs w:val="24"/>
          <w:lang w:val="en-US"/>
        </w:rPr>
        <w:t>Yet WtE is not a magic wand. High capital costs, feedstock variability</w:t>
      </w:r>
      <w:r>
        <w:rPr>
          <w:rFonts w:ascii="Times New Roman" w:eastAsia="Calibri" w:hAnsi="Times New Roman" w:cs="Times New Roman"/>
          <w:sz w:val="24"/>
          <w:szCs w:val="24"/>
          <w:lang w:val="en-US"/>
        </w:rPr>
        <w:t>,</w:t>
      </w:r>
      <w:r w:rsidRPr="00F77D97">
        <w:rPr>
          <w:rFonts w:ascii="Times New Roman" w:eastAsia="Calibri" w:hAnsi="Times New Roman" w:cs="Times New Roman"/>
          <w:sz w:val="24"/>
          <w:szCs w:val="24"/>
          <w:lang w:val="en-US"/>
        </w:rPr>
        <w:t xml:space="preserve"> and </w:t>
      </w:r>
      <w:r>
        <w:rPr>
          <w:rFonts w:ascii="Times New Roman" w:eastAsia="Calibri" w:hAnsi="Times New Roman" w:cs="Times New Roman"/>
          <w:sz w:val="24"/>
          <w:szCs w:val="24"/>
          <w:lang w:val="en-US"/>
        </w:rPr>
        <w:t>operational complexity</w:t>
      </w:r>
      <w:r w:rsidRPr="00F77D97">
        <w:rPr>
          <w:rFonts w:ascii="Times New Roman" w:eastAsia="Calibri" w:hAnsi="Times New Roman" w:cs="Times New Roman"/>
          <w:sz w:val="24"/>
          <w:szCs w:val="24"/>
          <w:lang w:val="en-US"/>
        </w:rPr>
        <w:t xml:space="preserve"> </w:t>
      </w:r>
      <w:r w:rsidRPr="00F77D97">
        <w:rPr>
          <w:rFonts w:ascii="Times New Roman" w:eastAsia="Calibri" w:hAnsi="Times New Roman" w:cs="Times New Roman"/>
          <w:sz w:val="24"/>
          <w:szCs w:val="24"/>
          <w:lang w:val="en-US"/>
        </w:rPr>
        <w:t>demand rigorous planning. Without upstream segregation and recycling, incinerators risk burning valuable recyclables and undermining circular economy goals. G</w:t>
      </w:r>
      <w:r>
        <w:rPr>
          <w:rFonts w:ascii="Times New Roman" w:eastAsia="Calibri" w:hAnsi="Times New Roman" w:cs="Times New Roman"/>
          <w:sz w:val="24"/>
          <w:szCs w:val="24"/>
          <w:lang w:val="en-US"/>
        </w:rPr>
        <w:t>CC g</w:t>
      </w:r>
      <w:r w:rsidRPr="00F77D97">
        <w:rPr>
          <w:rFonts w:ascii="Times New Roman" w:eastAsia="Calibri" w:hAnsi="Times New Roman" w:cs="Times New Roman"/>
          <w:sz w:val="24"/>
          <w:szCs w:val="24"/>
          <w:lang w:val="en-US"/>
        </w:rPr>
        <w:t>overnments must integrate WtE with complementary solutions (waste reduction, source segregation, recycling, composting) underpinned by strong regulation and public engagement. They must also ensure that WtE complements rather than substitutes preventative strategies and material recovery efforts.</w:t>
      </w:r>
    </w:p>
    <w:p w14:paraId="5121A49E" w14:textId="77777777" w:rsidR="00F77D97" w:rsidRPr="00F77D97" w:rsidRDefault="00F77D97" w:rsidP="00F77D97">
      <w:pPr>
        <w:spacing w:after="0" w:line="240" w:lineRule="auto"/>
        <w:rPr>
          <w:rFonts w:ascii="Times New Roman" w:eastAsia="Calibri" w:hAnsi="Times New Roman" w:cs="Times New Roman"/>
          <w:sz w:val="24"/>
          <w:szCs w:val="24"/>
          <w:lang w:val="en-US"/>
        </w:rPr>
      </w:pPr>
    </w:p>
    <w:p w14:paraId="2ABB07ED" w14:textId="12B51279" w:rsidR="0046369B" w:rsidRDefault="00F77D97" w:rsidP="00F77D97">
      <w:pPr>
        <w:spacing w:after="0" w:line="240" w:lineRule="auto"/>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r w:rsidRPr="00F77D97">
        <w:rPr>
          <w:rFonts w:ascii="Times New Roman" w:eastAsia="Calibri" w:hAnsi="Times New Roman" w:cs="Times New Roman"/>
          <w:sz w:val="24"/>
          <w:szCs w:val="24"/>
          <w:lang w:val="en-US"/>
        </w:rPr>
        <w:t>WtE offers a strategic lever for sustainability only as part of a circular‑economy ecosystem. Treating it as a standalone fix risks locking the region into expensive infrastructure that contradicts its own environmental ambitions.</w:t>
      </w:r>
    </w:p>
    <w:p w14:paraId="642BC6C4" w14:textId="77777777" w:rsidR="006B3217" w:rsidRPr="00194BF9" w:rsidRDefault="006B3217" w:rsidP="00194BF9">
      <w:pPr>
        <w:spacing w:after="0" w:line="240" w:lineRule="auto"/>
        <w:rPr>
          <w:rFonts w:ascii="Times New Roman" w:eastAsia="Calibri" w:hAnsi="Times New Roman" w:cs="Times New Roman"/>
          <w:sz w:val="24"/>
          <w:szCs w:val="24"/>
          <w:lang w:val="en-US"/>
        </w:rPr>
      </w:pPr>
    </w:p>
    <w:p w14:paraId="1454F7B2" w14:textId="29968C79" w:rsidR="006B3217" w:rsidRPr="00194BF9" w:rsidRDefault="00607A26" w:rsidP="00B772E5">
      <w:pPr>
        <w:pStyle w:val="ListParagraph"/>
        <w:autoSpaceDE w:val="0"/>
        <w:autoSpaceDN w:val="0"/>
        <w:adjustRightInd w:val="0"/>
        <w:spacing w:line="240" w:lineRule="auto"/>
        <w:ind w:left="400" w:firstLine="0"/>
        <w:rPr>
          <w:rFonts w:ascii="Times New Roman" w:eastAsia="Times New Roman" w:hAnsi="Times New Roman" w:cs="Times New Roman"/>
          <w:noProof/>
          <w:sz w:val="24"/>
          <w:szCs w:val="24"/>
        </w:rPr>
      </w:pPr>
      <w:r w:rsidRPr="00194BF9">
        <w:rPr>
          <w:noProof/>
          <w:sz w:val="24"/>
          <w:szCs w:val="24"/>
          <w:lang w:eastAsia="en-IN"/>
        </w:rPr>
        <mc:AlternateContent>
          <mc:Choice Requires="wpg">
            <w:drawing>
              <wp:inline distT="0" distB="0" distL="0" distR="0" wp14:anchorId="5BB7766C" wp14:editId="2847053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14527C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AAF1B38" w14:textId="30D9FA9F"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p>
    <w:p w14:paraId="4AB3E59F" w14:textId="35706CA5"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p>
    <w:p w14:paraId="3AC53382" w14:textId="3C666678" w:rsidR="006B3217" w:rsidRPr="00194BF9" w:rsidRDefault="008E78E9" w:rsidP="008E78E9">
      <w:pPr>
        <w:spacing w:after="0" w:line="240" w:lineRule="auto"/>
        <w:rPr>
          <w:rFonts w:ascii="Times New Roman" w:eastAsia="Calibri" w:hAnsi="Times New Roman" w:cs="Times New Roman"/>
          <w:sz w:val="24"/>
          <w:szCs w:val="24"/>
          <w:lang w:val="en-US"/>
        </w:rPr>
      </w:pPr>
      <w:r w:rsidRPr="008E78E9">
        <w:rPr>
          <w:rFonts w:ascii="Times New Roman" w:eastAsia="Calibri" w:hAnsi="Times New Roman" w:cs="Times New Roman"/>
          <w:b/>
          <w:bCs/>
          <w:sz w:val="24"/>
          <w:szCs w:val="24"/>
          <w:lang w:val="en-US"/>
        </w:rPr>
        <w:t>Andr</w:t>
      </w:r>
      <w:r>
        <w:rPr>
          <w:rFonts w:ascii="Times New Roman" w:eastAsia="Calibri" w:hAnsi="Times New Roman" w:cs="Times New Roman"/>
          <w:b/>
          <w:bCs/>
          <w:sz w:val="24"/>
          <w:szCs w:val="24"/>
          <w:lang w:val="en-US"/>
        </w:rPr>
        <w:t>é</w:t>
      </w:r>
      <w:r w:rsidRPr="008E78E9">
        <w:rPr>
          <w:rFonts w:ascii="Times New Roman" w:eastAsia="Calibri" w:hAnsi="Times New Roman" w:cs="Times New Roman"/>
          <w:b/>
          <w:bCs/>
          <w:sz w:val="24"/>
          <w:szCs w:val="24"/>
          <w:lang w:val="en-US"/>
        </w:rPr>
        <w:t xml:space="preserve"> Sleiman</w:t>
      </w:r>
      <w:r w:rsidRPr="008E78E9">
        <w:rPr>
          <w:rFonts w:ascii="Times New Roman" w:eastAsia="Calibri" w:hAnsi="Times New Roman" w:cs="Times New Roman"/>
          <w:sz w:val="24"/>
          <w:szCs w:val="24"/>
          <w:lang w:val="en-US"/>
        </w:rPr>
        <w:t xml:space="preserve"> is a </w:t>
      </w:r>
      <w:r>
        <w:rPr>
          <w:rFonts w:ascii="Times New Roman" w:eastAsia="Calibri" w:hAnsi="Times New Roman" w:cs="Times New Roman"/>
          <w:sz w:val="24"/>
          <w:szCs w:val="24"/>
          <w:lang w:val="en-US"/>
        </w:rPr>
        <w:t>D</w:t>
      </w:r>
      <w:r w:rsidRPr="008E78E9">
        <w:rPr>
          <w:rFonts w:ascii="Times New Roman" w:eastAsia="Calibri" w:hAnsi="Times New Roman" w:cs="Times New Roman"/>
          <w:sz w:val="24"/>
          <w:szCs w:val="24"/>
          <w:lang w:val="en-US"/>
        </w:rPr>
        <w:t>irector at Roland Berger.</w:t>
      </w:r>
      <w:r w:rsidRPr="008E78E9">
        <w:rPr>
          <w:rFonts w:ascii="Segoe UI" w:eastAsia="Times New Roman" w:hAnsi="Segoe UI" w:cs="Segoe UI"/>
          <w:sz w:val="21"/>
          <w:szCs w:val="21"/>
          <w:lang w:val="en-US"/>
        </w:rPr>
        <w:t xml:space="preserve"> </w:t>
      </w:r>
      <w:r w:rsidRPr="008E78E9">
        <w:rPr>
          <w:rFonts w:ascii="Times New Roman" w:eastAsia="Calibri" w:hAnsi="Times New Roman" w:cs="Times New Roman"/>
          <w:sz w:val="24"/>
          <w:szCs w:val="24"/>
          <w:lang w:val="en-US"/>
        </w:rPr>
        <w:t>He advises clients across Saudi Arabia, Qatar</w:t>
      </w:r>
      <w:r>
        <w:rPr>
          <w:rFonts w:ascii="Times New Roman" w:eastAsia="Calibri" w:hAnsi="Times New Roman" w:cs="Times New Roman"/>
          <w:sz w:val="24"/>
          <w:szCs w:val="24"/>
          <w:lang w:val="en-US"/>
        </w:rPr>
        <w:t>,</w:t>
      </w:r>
      <w:r w:rsidRPr="008E78E9">
        <w:rPr>
          <w:rFonts w:ascii="Times New Roman" w:eastAsia="Calibri" w:hAnsi="Times New Roman" w:cs="Times New Roman"/>
          <w:sz w:val="24"/>
          <w:szCs w:val="24"/>
          <w:lang w:val="en-US"/>
        </w:rPr>
        <w:t xml:space="preserve"> and the United Arab Emirates, working with ministries, regulators</w:t>
      </w:r>
      <w:r>
        <w:rPr>
          <w:rFonts w:ascii="Times New Roman" w:eastAsia="Calibri" w:hAnsi="Times New Roman" w:cs="Times New Roman"/>
          <w:sz w:val="24"/>
          <w:szCs w:val="24"/>
          <w:lang w:val="en-US"/>
        </w:rPr>
        <w:t>,</w:t>
      </w:r>
      <w:r w:rsidRPr="008E78E9">
        <w:rPr>
          <w:rFonts w:ascii="Times New Roman" w:eastAsia="Calibri" w:hAnsi="Times New Roman" w:cs="Times New Roman"/>
          <w:sz w:val="24"/>
          <w:szCs w:val="24"/>
          <w:lang w:val="en-US"/>
        </w:rPr>
        <w:t xml:space="preserve"> and major operators on the full spectrum of waste and resource management challenges. His work spans all waste streams and covers the design of policy frameworks, masterplans, cost recovery schemes, regulatory incentives</w:t>
      </w:r>
      <w:r>
        <w:rPr>
          <w:rFonts w:ascii="Times New Roman" w:eastAsia="Calibri" w:hAnsi="Times New Roman" w:cs="Times New Roman"/>
          <w:sz w:val="24"/>
          <w:szCs w:val="24"/>
          <w:lang w:val="en-US"/>
        </w:rPr>
        <w:t>,</w:t>
      </w:r>
      <w:r w:rsidRPr="008E78E9">
        <w:rPr>
          <w:rFonts w:ascii="Times New Roman" w:eastAsia="Calibri" w:hAnsi="Times New Roman" w:cs="Times New Roman"/>
          <w:sz w:val="24"/>
          <w:szCs w:val="24"/>
          <w:lang w:val="en-US"/>
        </w:rPr>
        <w:t xml:space="preserve"> and</w:t>
      </w:r>
      <w:r>
        <w:rPr>
          <w:rFonts w:ascii="Times New Roman" w:eastAsia="Calibri" w:hAnsi="Times New Roman" w:cs="Times New Roman"/>
          <w:sz w:val="24"/>
          <w:szCs w:val="24"/>
          <w:lang w:val="en-US"/>
        </w:rPr>
        <w:t xml:space="preserve"> </w:t>
      </w:r>
      <w:r w:rsidRPr="008E78E9">
        <w:rPr>
          <w:rFonts w:ascii="Times New Roman" w:eastAsia="Calibri" w:hAnsi="Times New Roman" w:cs="Times New Roman"/>
          <w:sz w:val="24"/>
          <w:szCs w:val="24"/>
          <w:lang w:val="en-US"/>
        </w:rPr>
        <w:t xml:space="preserve">operating models. He has developed solutions across the value chain, including collection systems, sorting and treatment infrastructure, recycling pathways, </w:t>
      </w:r>
      <w:r>
        <w:rPr>
          <w:rFonts w:ascii="Times New Roman" w:eastAsia="Calibri" w:hAnsi="Times New Roman" w:cs="Times New Roman"/>
          <w:sz w:val="24"/>
          <w:szCs w:val="24"/>
          <w:lang w:val="en-US"/>
        </w:rPr>
        <w:t xml:space="preserve">and </w:t>
      </w:r>
      <w:r w:rsidRPr="008E78E9">
        <w:rPr>
          <w:rFonts w:ascii="Times New Roman" w:eastAsia="Calibri" w:hAnsi="Times New Roman" w:cs="Times New Roman"/>
          <w:sz w:val="24"/>
          <w:szCs w:val="24"/>
          <w:lang w:val="en-US"/>
        </w:rPr>
        <w:t xml:space="preserve">circular economy programs. A frequent contributor to environmental policy debates, he has authored and supervised numerous publications and engages with regional stakeholders on reform and implementation. He holds a PhD in sociology from the École des Hautes Études en Sciences Sociales in Paris and a Public Leadership Credential from Harvard Kennedy School. He </w:t>
      </w:r>
      <w:r>
        <w:rPr>
          <w:rFonts w:ascii="Times New Roman" w:eastAsia="Calibri" w:hAnsi="Times New Roman" w:cs="Times New Roman"/>
          <w:sz w:val="24"/>
          <w:szCs w:val="24"/>
          <w:lang w:val="en-US"/>
        </w:rPr>
        <w:t>is fluent in</w:t>
      </w:r>
      <w:r w:rsidRPr="008E78E9">
        <w:rPr>
          <w:rFonts w:ascii="Times New Roman" w:eastAsia="Calibri" w:hAnsi="Times New Roman" w:cs="Times New Roman"/>
          <w:sz w:val="24"/>
          <w:szCs w:val="24"/>
          <w:lang w:val="en-US"/>
        </w:rPr>
        <w:t xml:space="preserve"> Arabic, English, French</w:t>
      </w:r>
      <w:r>
        <w:rPr>
          <w:rFonts w:ascii="Times New Roman" w:eastAsia="Calibri" w:hAnsi="Times New Roman" w:cs="Times New Roman"/>
          <w:sz w:val="24"/>
          <w:szCs w:val="24"/>
          <w:lang w:val="en-US"/>
        </w:rPr>
        <w:t>,</w:t>
      </w:r>
      <w:r w:rsidRPr="008E78E9">
        <w:rPr>
          <w:rFonts w:ascii="Times New Roman" w:eastAsia="Calibri" w:hAnsi="Times New Roman" w:cs="Times New Roman"/>
          <w:sz w:val="24"/>
          <w:szCs w:val="24"/>
          <w:lang w:val="en-US"/>
        </w:rPr>
        <w:t xml:space="preserve"> and German.</w:t>
      </w:r>
    </w:p>
    <w:p w14:paraId="3A55CA88" w14:textId="19B1BFBC" w:rsidR="006B3217" w:rsidRPr="0016595E" w:rsidRDefault="006B3217" w:rsidP="0016595E">
      <w:pPr>
        <w:pStyle w:val="ListParagraph"/>
        <w:numPr>
          <w:ilvl w:val="0"/>
          <w:numId w:val="2"/>
        </w:numPr>
        <w:spacing w:line="240" w:lineRule="auto"/>
        <w:rPr>
          <w:rFonts w:ascii="Times New Roman" w:hAnsi="Times New Roman" w:cs="Times New Roman"/>
          <w:sz w:val="24"/>
          <w:szCs w:val="24"/>
        </w:rPr>
      </w:pPr>
      <w:r w:rsidRPr="0016595E">
        <w:rPr>
          <w:rFonts w:ascii="Times New Roman" w:hAnsi="Times New Roman" w:cs="Times New Roman"/>
          <w:b/>
          <w:sz w:val="24"/>
          <w:szCs w:val="24"/>
        </w:rPr>
        <w:t>Full Name:</w:t>
      </w:r>
      <w:r w:rsidRPr="0016595E">
        <w:rPr>
          <w:rFonts w:ascii="Times New Roman" w:hAnsi="Times New Roman" w:cs="Times New Roman"/>
          <w:sz w:val="24"/>
          <w:szCs w:val="24"/>
        </w:rPr>
        <w:t xml:space="preserve"> </w:t>
      </w:r>
      <w:r w:rsidR="0022075B" w:rsidRPr="0016595E">
        <w:rPr>
          <w:rFonts w:ascii="Times New Roman" w:hAnsi="Times New Roman" w:cs="Times New Roman"/>
          <w:sz w:val="24"/>
          <w:szCs w:val="24"/>
        </w:rPr>
        <w:t>André Sleiman</w:t>
      </w:r>
      <w:r w:rsidRPr="0016595E">
        <w:rPr>
          <w:rFonts w:ascii="Times New Roman" w:hAnsi="Times New Roman" w:cs="Times New Roman"/>
          <w:sz w:val="24"/>
          <w:szCs w:val="24"/>
        </w:rPr>
        <w:t xml:space="preserve"> </w:t>
      </w:r>
    </w:p>
    <w:p w14:paraId="0847A81D" w14:textId="7216F2F1" w:rsidR="006B3217" w:rsidRPr="0016595E" w:rsidRDefault="006B3217" w:rsidP="0016595E">
      <w:pPr>
        <w:pStyle w:val="ListParagraph"/>
        <w:numPr>
          <w:ilvl w:val="0"/>
          <w:numId w:val="2"/>
        </w:numPr>
        <w:spacing w:line="240" w:lineRule="auto"/>
        <w:rPr>
          <w:rFonts w:ascii="Times New Roman" w:hAnsi="Times New Roman" w:cs="Times New Roman"/>
          <w:sz w:val="24"/>
          <w:szCs w:val="24"/>
        </w:rPr>
      </w:pPr>
      <w:r w:rsidRPr="0016595E">
        <w:rPr>
          <w:rFonts w:ascii="Times New Roman" w:hAnsi="Times New Roman" w:cs="Times New Roman"/>
          <w:b/>
          <w:sz w:val="24"/>
          <w:szCs w:val="24"/>
        </w:rPr>
        <w:t>Email:</w:t>
      </w:r>
      <w:r w:rsidRPr="0016595E">
        <w:rPr>
          <w:rFonts w:ascii="Times New Roman" w:hAnsi="Times New Roman" w:cs="Times New Roman"/>
          <w:sz w:val="24"/>
          <w:szCs w:val="24"/>
        </w:rPr>
        <w:t xml:space="preserve"> </w:t>
      </w:r>
      <w:hyperlink r:id="rId5" w:history="1">
        <w:r w:rsidR="0022075B" w:rsidRPr="0016595E">
          <w:rPr>
            <w:rStyle w:val="Hyperlink"/>
            <w:rFonts w:ascii="Times New Roman" w:hAnsi="Times New Roman" w:cs="Times New Roman"/>
            <w:sz w:val="24"/>
            <w:szCs w:val="24"/>
          </w:rPr>
          <w:t>andre.sleiman@rolandberger.com</w:t>
        </w:r>
      </w:hyperlink>
      <w:r w:rsidR="0022075B" w:rsidRPr="0016595E">
        <w:rPr>
          <w:rFonts w:ascii="Times New Roman" w:hAnsi="Times New Roman" w:cs="Times New Roman"/>
          <w:sz w:val="24"/>
          <w:szCs w:val="24"/>
        </w:rPr>
        <w:t xml:space="preserve"> </w:t>
      </w:r>
    </w:p>
    <w:p w14:paraId="400918CE" w14:textId="59AF80D7" w:rsidR="006B3217" w:rsidRPr="0016595E" w:rsidRDefault="006B3217" w:rsidP="0016595E">
      <w:pPr>
        <w:pStyle w:val="ListParagraph"/>
        <w:numPr>
          <w:ilvl w:val="0"/>
          <w:numId w:val="2"/>
        </w:numPr>
        <w:spacing w:line="240" w:lineRule="auto"/>
        <w:rPr>
          <w:rFonts w:ascii="Times New Roman" w:hAnsi="Times New Roman" w:cs="Times New Roman"/>
          <w:sz w:val="24"/>
          <w:szCs w:val="24"/>
        </w:rPr>
      </w:pPr>
      <w:r w:rsidRPr="0016595E">
        <w:rPr>
          <w:rFonts w:ascii="Times New Roman" w:hAnsi="Times New Roman" w:cs="Times New Roman"/>
          <w:b/>
          <w:sz w:val="24"/>
          <w:szCs w:val="24"/>
        </w:rPr>
        <w:t>Mobile Number:</w:t>
      </w:r>
      <w:r w:rsidRPr="0016595E">
        <w:rPr>
          <w:rFonts w:ascii="Times New Roman" w:hAnsi="Times New Roman" w:cs="Times New Roman"/>
          <w:sz w:val="24"/>
          <w:szCs w:val="24"/>
        </w:rPr>
        <w:t xml:space="preserve"> +</w:t>
      </w:r>
      <w:r w:rsidR="0022075B" w:rsidRPr="0016595E">
        <w:rPr>
          <w:rFonts w:ascii="Times New Roman" w:hAnsi="Times New Roman" w:cs="Times New Roman"/>
          <w:sz w:val="24"/>
          <w:szCs w:val="24"/>
        </w:rPr>
        <w:t>966 55 281 1780</w:t>
      </w:r>
    </w:p>
    <w:p w14:paraId="3809807C" w14:textId="2A52E0B4" w:rsidR="006B3217" w:rsidRPr="0016595E" w:rsidRDefault="006B3217" w:rsidP="0016595E">
      <w:pPr>
        <w:pStyle w:val="ListParagraph"/>
        <w:numPr>
          <w:ilvl w:val="0"/>
          <w:numId w:val="2"/>
        </w:numPr>
        <w:spacing w:line="240" w:lineRule="auto"/>
        <w:rPr>
          <w:rFonts w:ascii="Times New Roman" w:hAnsi="Times New Roman" w:cs="Times New Roman"/>
          <w:sz w:val="24"/>
          <w:szCs w:val="24"/>
        </w:rPr>
      </w:pPr>
      <w:r w:rsidRPr="0016595E">
        <w:rPr>
          <w:rFonts w:ascii="Times New Roman" w:hAnsi="Times New Roman" w:cs="Times New Roman"/>
          <w:b/>
          <w:sz w:val="24"/>
          <w:szCs w:val="24"/>
        </w:rPr>
        <w:t>Category:</w:t>
      </w:r>
      <w:r w:rsidRPr="0016595E">
        <w:rPr>
          <w:rFonts w:ascii="Times New Roman" w:hAnsi="Times New Roman" w:cs="Times New Roman"/>
          <w:sz w:val="24"/>
          <w:szCs w:val="24"/>
        </w:rPr>
        <w:t xml:space="preserve"> </w:t>
      </w:r>
      <w:r w:rsidR="0022075B" w:rsidRPr="0016595E">
        <w:rPr>
          <w:rFonts w:ascii="Times New Roman" w:hAnsi="Times New Roman" w:cs="Times New Roman"/>
          <w:sz w:val="24"/>
          <w:szCs w:val="24"/>
        </w:rPr>
        <w:t>Speaker</w:t>
      </w:r>
    </w:p>
    <w:p w14:paraId="5F92F33B" w14:textId="6B6B3A73" w:rsidR="006B3217" w:rsidRPr="0016595E" w:rsidRDefault="006B3217" w:rsidP="0016595E">
      <w:pPr>
        <w:pStyle w:val="ListParagraph"/>
        <w:numPr>
          <w:ilvl w:val="0"/>
          <w:numId w:val="2"/>
        </w:numPr>
        <w:spacing w:line="240" w:lineRule="auto"/>
        <w:rPr>
          <w:rFonts w:ascii="Times New Roman" w:hAnsi="Times New Roman" w:cs="Times New Roman"/>
          <w:sz w:val="24"/>
          <w:szCs w:val="24"/>
        </w:rPr>
      </w:pPr>
      <w:r w:rsidRPr="0016595E">
        <w:rPr>
          <w:rFonts w:ascii="Times New Roman" w:hAnsi="Times New Roman" w:cs="Times New Roman"/>
          <w:b/>
          <w:sz w:val="24"/>
          <w:szCs w:val="24"/>
        </w:rPr>
        <w:t xml:space="preserve">Date of Birth: </w:t>
      </w:r>
      <w:r w:rsidR="0022075B" w:rsidRPr="0016595E">
        <w:rPr>
          <w:rFonts w:ascii="Times New Roman" w:hAnsi="Times New Roman" w:cs="Times New Roman"/>
          <w:sz w:val="24"/>
          <w:szCs w:val="24"/>
        </w:rPr>
        <w:t>1 March 1984</w:t>
      </w:r>
    </w:p>
    <w:p w14:paraId="2BC7E4C8" w14:textId="3A71B8F3" w:rsidR="004C4404" w:rsidRPr="0016595E" w:rsidRDefault="006B3217" w:rsidP="0016595E">
      <w:pPr>
        <w:pStyle w:val="ListParagraph"/>
        <w:numPr>
          <w:ilvl w:val="0"/>
          <w:numId w:val="2"/>
        </w:numPr>
        <w:spacing w:line="240" w:lineRule="auto"/>
        <w:rPr>
          <w:rFonts w:ascii="Times New Roman" w:hAnsi="Times New Roman" w:cs="Times New Roman"/>
          <w:sz w:val="24"/>
          <w:szCs w:val="24"/>
        </w:rPr>
      </w:pPr>
      <w:r w:rsidRPr="0016595E">
        <w:rPr>
          <w:rFonts w:ascii="Times New Roman" w:hAnsi="Times New Roman" w:cs="Times New Roman"/>
          <w:b/>
          <w:sz w:val="24"/>
          <w:szCs w:val="24"/>
        </w:rPr>
        <w:t>Postal Address:</w:t>
      </w:r>
      <w:r w:rsidR="0016595E">
        <w:rPr>
          <w:rFonts w:ascii="Times New Roman" w:hAnsi="Times New Roman" w:cs="Times New Roman"/>
          <w:b/>
          <w:sz w:val="24"/>
          <w:szCs w:val="24"/>
        </w:rPr>
        <w:t xml:space="preserve"> </w:t>
      </w:r>
      <w:r w:rsidR="0016595E" w:rsidRPr="0016595E">
        <w:rPr>
          <w:rFonts w:ascii="Times New Roman" w:hAnsi="Times New Roman" w:cs="Times New Roman"/>
          <w:sz w:val="24"/>
          <w:szCs w:val="24"/>
        </w:rPr>
        <w:t xml:space="preserve">Roland Berger KSA, </w:t>
      </w:r>
      <w:r w:rsidR="0016595E" w:rsidRPr="0016595E">
        <w:rPr>
          <w:rFonts w:ascii="Times New Roman" w:hAnsi="Times New Roman" w:cs="Times New Roman"/>
          <w:sz w:val="24"/>
          <w:szCs w:val="24"/>
        </w:rPr>
        <w:t>Office Unit 2, Level 9, Building 5.08 King Abdullah Financial District · Bldg. 2877, Al Thumamah Road, Al Aqeeq Dist. 6686, P. O. Box 63362, Riyadh 13519, Kingdom of Saudi Arabia</w:t>
      </w:r>
    </w:p>
    <w:sectPr w:rsidR="004C4404" w:rsidRPr="0016595E"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 Cen MT">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AE6253"/>
    <w:multiLevelType w:val="hybridMultilevel"/>
    <w:tmpl w:val="9B7A4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16cid:durableId="1168130615">
    <w:abstractNumId w:val="1"/>
  </w:num>
  <w:num w:numId="2" w16cid:durableId="146435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6597"/>
    <w:rsid w:val="00155B14"/>
    <w:rsid w:val="0016595E"/>
    <w:rsid w:val="001753E4"/>
    <w:rsid w:val="00194BF9"/>
    <w:rsid w:val="0022075B"/>
    <w:rsid w:val="00375B3D"/>
    <w:rsid w:val="003D03E4"/>
    <w:rsid w:val="0046369B"/>
    <w:rsid w:val="004C4404"/>
    <w:rsid w:val="00607A26"/>
    <w:rsid w:val="00676597"/>
    <w:rsid w:val="006B3217"/>
    <w:rsid w:val="0072519A"/>
    <w:rsid w:val="008E78E9"/>
    <w:rsid w:val="00974F83"/>
    <w:rsid w:val="009C72EB"/>
    <w:rsid w:val="00A2285E"/>
    <w:rsid w:val="00A77C85"/>
    <w:rsid w:val="00AF2CF0"/>
    <w:rsid w:val="00B772E5"/>
    <w:rsid w:val="00DF560E"/>
    <w:rsid w:val="00F77D97"/>
    <w:rsid w:val="00FA08F0"/>
    <w:rsid w:val="00FA237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88825"/>
  <w15:docId w15:val="{F180CEDD-5446-4F36-A3CA-75490D7F3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 w:type="character" w:styleId="UnresolvedMention">
    <w:name w:val="Unresolved Mention"/>
    <w:basedOn w:val="DefaultParagraphFont"/>
    <w:uiPriority w:val="99"/>
    <w:semiHidden/>
    <w:unhideWhenUsed/>
    <w:rsid w:val="002207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ndre.sleiman@rolandberger.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428</Words>
  <Characters>2570</Characters>
  <Application>Microsoft Office Word</Application>
  <DocSecurity>0</DocSecurity>
  <Lines>67</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Sleiman, Andre</cp:lastModifiedBy>
  <cp:revision>11</cp:revision>
  <dcterms:created xsi:type="dcterms:W3CDTF">2019-09-09T09:11:00Z</dcterms:created>
  <dcterms:modified xsi:type="dcterms:W3CDTF">2026-01-09T10:28:00Z</dcterms:modified>
</cp:coreProperties>
</file>