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07A" w:rsidRPr="0095463B" w:rsidRDefault="0089007A" w:rsidP="0089007A">
      <w:pPr>
        <w:rPr>
          <w:rFonts w:hint="cs"/>
          <w:b/>
          <w:bCs/>
          <w:color w:val="000000"/>
          <w:sz w:val="28"/>
          <w:szCs w:val="28"/>
          <w:rtl/>
        </w:rPr>
      </w:pPr>
      <w:r w:rsidRPr="00CB54B4">
        <w:rPr>
          <w:b/>
          <w:bCs/>
          <w:sz w:val="28"/>
          <w:szCs w:val="28"/>
        </w:rPr>
        <w:t xml:space="preserve">USING </w:t>
      </w:r>
      <w:r>
        <w:rPr>
          <w:b/>
          <w:bCs/>
          <w:sz w:val="28"/>
          <w:szCs w:val="28"/>
        </w:rPr>
        <w:t xml:space="preserve">GREEN </w:t>
      </w:r>
      <w:r w:rsidRPr="00CB54B4">
        <w:rPr>
          <w:b/>
          <w:bCs/>
          <w:sz w:val="28"/>
          <w:szCs w:val="28"/>
        </w:rPr>
        <w:t xml:space="preserve">COLD PRESSING TO PRODUCE HIGH QUALITY FISH OIL FROM </w:t>
      </w:r>
      <w:r>
        <w:rPr>
          <w:b/>
          <w:bCs/>
          <w:sz w:val="28"/>
          <w:szCs w:val="28"/>
        </w:rPr>
        <w:t>INDUSTRIAL</w:t>
      </w:r>
      <w:r w:rsidRPr="00CB54B4">
        <w:rPr>
          <w:b/>
          <w:bCs/>
          <w:color w:val="000000"/>
          <w:sz w:val="28"/>
          <w:szCs w:val="28"/>
        </w:rPr>
        <w:t xml:space="preserve"> SALMON WASTE </w:t>
      </w:r>
    </w:p>
    <w:p w:rsidR="0089007A" w:rsidRPr="008160C1" w:rsidRDefault="0089007A" w:rsidP="0089007A">
      <w:pPr>
        <w:rPr>
          <w:sz w:val="24"/>
        </w:rPr>
      </w:pPr>
      <w:r>
        <w:rPr>
          <w:b/>
          <w:bCs/>
          <w:sz w:val="24"/>
        </w:rPr>
        <w:t xml:space="preserve"> </w:t>
      </w:r>
      <w:proofErr w:type="spellStart"/>
      <w:r w:rsidRPr="008160C1">
        <w:rPr>
          <w:sz w:val="24"/>
        </w:rPr>
        <w:t>Tarek</w:t>
      </w:r>
      <w:proofErr w:type="spellEnd"/>
      <w:r w:rsidRPr="008160C1">
        <w:rPr>
          <w:sz w:val="24"/>
        </w:rPr>
        <w:t xml:space="preserve"> </w:t>
      </w:r>
      <w:proofErr w:type="spellStart"/>
      <w:r w:rsidRPr="008160C1">
        <w:rPr>
          <w:sz w:val="24"/>
        </w:rPr>
        <w:t>Fouda</w:t>
      </w:r>
      <w:proofErr w:type="spellEnd"/>
      <w:r w:rsidRPr="008160C1">
        <w:rPr>
          <w:sz w:val="24"/>
        </w:rPr>
        <w:t>*</w:t>
      </w:r>
    </w:p>
    <w:p w:rsidR="0089007A" w:rsidRPr="008160C1" w:rsidRDefault="0089007A" w:rsidP="0089007A">
      <w:pPr>
        <w:rPr>
          <w:sz w:val="24"/>
        </w:rPr>
      </w:pPr>
      <w:r w:rsidRPr="008160C1">
        <w:rPr>
          <w:sz w:val="24"/>
        </w:rPr>
        <w:t>*</w:t>
      </w:r>
      <w:r>
        <w:rPr>
          <w:sz w:val="24"/>
        </w:rPr>
        <w:t xml:space="preserve">Professor and Head of </w:t>
      </w:r>
      <w:r w:rsidRPr="008160C1">
        <w:rPr>
          <w:sz w:val="24"/>
        </w:rPr>
        <w:t>Department of Agricultural Engineering, Faculty of Agriculture, Tanta University, Egypt</w:t>
      </w:r>
    </w:p>
    <w:p w:rsidR="0089007A" w:rsidRPr="008160C1" w:rsidRDefault="0089007A" w:rsidP="0089007A">
      <w:pPr>
        <w:rPr>
          <w:sz w:val="24"/>
        </w:rPr>
      </w:pPr>
      <w:r w:rsidRPr="008160C1">
        <w:rPr>
          <w:sz w:val="24"/>
        </w:rPr>
        <w:t>*</w:t>
      </w:r>
      <w:r w:rsidRPr="00A04B39">
        <w:rPr>
          <w:b/>
          <w:i/>
          <w:color w:val="000000"/>
          <w:sz w:val="24"/>
        </w:rPr>
        <w:t>Corresponding author</w:t>
      </w:r>
      <w:r w:rsidRPr="00A04B39">
        <w:rPr>
          <w:color w:val="000000"/>
          <w:sz w:val="24"/>
        </w:rPr>
        <w:t xml:space="preserve">: </w:t>
      </w:r>
      <w:hyperlink r:id="rId8" w:history="1">
        <w:r w:rsidRPr="00A04B39">
          <w:rPr>
            <w:rStyle w:val="Hyperlink"/>
            <w:color w:val="000000"/>
            <w:sz w:val="24"/>
          </w:rPr>
          <w:t>tfouda628@gmail.com</w:t>
        </w:r>
      </w:hyperlink>
      <w:r>
        <w:rPr>
          <w:color w:val="000000"/>
          <w:sz w:val="24"/>
        </w:rPr>
        <w:t>, tfouda@yahoo.com</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89007A" w:rsidRPr="0089007A" w:rsidRDefault="0089007A" w:rsidP="0089007A">
      <w:pPr>
        <w:jc w:val="lowKashida"/>
        <w:rPr>
          <w:sz w:val="20"/>
          <w:szCs w:val="20"/>
        </w:rPr>
      </w:pPr>
      <w:r w:rsidRPr="0089007A">
        <w:rPr>
          <w:sz w:val="20"/>
          <w:szCs w:val="20"/>
        </w:rPr>
        <w:t xml:space="preserve">The  main  objective  of  this  research  was  to  determine  the  amount of oil fish  were extracted from fish west resulted from butchering, cutting and splitting processes before salmon smoking by using cold  pressing `methods.  The  amount  and  the  characteristics  of  extracted  of  oil were  tested at Regional Centre for food and feed the USDA Agricultural Research Center laboratory. The  samples  were  used  from fresh Salmon  waste about 1000g from each of the (head, skin,  viscera,  backbone,  frames  and  cuts  off).  This waste recorded  more than  22%  of  the  total  mass  from  salmon  fish with used modern extract machine. in this experiment  the results  revealed  the  fresh  salmon  waste  have  more  than  16 %  of  oil  fish  per  one  kg  of  salmon  waste.  The oil weight from Salmon waste for (head, skin,  viscera,  backbone,  frames  and  cuts  off). was increased with pressing time increase as well as oil productivity increased.  The  optimum  conditions  at  pressing  time  was  200  min, for all salmon waste components .  Oil  productivity   fluctuated according to waste sources  was  190, 210, 86, 188, 178 and 90 </w:t>
      </w:r>
      <w:proofErr w:type="spellStart"/>
      <w:r w:rsidRPr="0089007A">
        <w:rPr>
          <w:sz w:val="20"/>
          <w:szCs w:val="20"/>
        </w:rPr>
        <w:t>g.oil</w:t>
      </w:r>
      <w:proofErr w:type="spellEnd"/>
      <w:r w:rsidRPr="0089007A">
        <w:rPr>
          <w:sz w:val="20"/>
          <w:szCs w:val="20"/>
        </w:rPr>
        <w:t xml:space="preserve">/1000  g. by head, skin, off  cuts , terming, ,  viscera , and backbone frames,  Salmon  by-products,  oil  productivity  was ranged between 8.60 to 21.00%  at  constant  pressure. High contents of functional EPA (20:5 ω 3) and DHA (22:6 ω 3) for oil fish  </w:t>
      </w:r>
    </w:p>
    <w:p w:rsidR="0089007A" w:rsidRPr="0089007A" w:rsidRDefault="0089007A" w:rsidP="0089007A">
      <w:pPr>
        <w:pStyle w:val="MSEAffiliationContact"/>
        <w:spacing w:after="0"/>
        <w:jc w:val="left"/>
        <w:rPr>
          <w:rFonts w:ascii="Tw Cen MT" w:eastAsia="Tw Cen MT" w:hAnsi="Tw Cen MT" w:cs="Tw Cen MT"/>
          <w:szCs w:val="20"/>
          <w:lang w:val="en-US" w:eastAsia="en-US"/>
        </w:rPr>
      </w:pPr>
    </w:p>
    <w:p w:rsidR="00AE3E37" w:rsidRDefault="006A6AE9" w:rsidP="0089007A">
      <w:pPr>
        <w:pStyle w:val="a3"/>
        <w:spacing w:before="90" w:line="280" w:lineRule="auto"/>
        <w:ind w:left="100"/>
        <w:jc w:val="both"/>
      </w:pPr>
      <w:r>
        <w:rPr>
          <w:noProof/>
        </w:rPr>
        <w:drawing>
          <wp:inline distT="0" distB="0" distL="0" distR="0">
            <wp:extent cx="3226003" cy="1609344"/>
            <wp:effectExtent l="0" t="0" r="12700" b="10160"/>
            <wp:docPr id="4" name="مخطط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noProof/>
        </w:rPr>
        <w:drawing>
          <wp:anchor distT="0" distB="0" distL="114300" distR="114300" simplePos="0" relativeHeight="251658240" behindDoc="1" locked="0" layoutInCell="1" allowOverlap="1" wp14:anchorId="176A74E2" wp14:editId="6A12BAAC">
            <wp:simplePos x="0" y="0"/>
            <wp:positionH relativeFrom="column">
              <wp:posOffset>53340</wp:posOffset>
            </wp:positionH>
            <wp:positionV relativeFrom="paragraph">
              <wp:posOffset>1945640</wp:posOffset>
            </wp:positionV>
            <wp:extent cx="1000125" cy="1449705"/>
            <wp:effectExtent l="0" t="0" r="9525" b="0"/>
            <wp:wrapTight wrapText="bothSides">
              <wp:wrapPolygon edited="0">
                <wp:start x="0" y="0"/>
                <wp:lineTo x="0" y="21288"/>
                <wp:lineTo x="21394" y="21288"/>
                <wp:lineTo x="21394" y="0"/>
                <wp:lineTo x="0" y="0"/>
              </wp:wrapPolygon>
            </wp:wrapTight>
            <wp:docPr id="3" name="صورة 3" descr="Description: http://tuef.tanta.edu.eg/uploads/31c33367-d68b-4cda-a301-fe1f4ba814c6Tarek%20Fou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cription: http://tuef.tanta.edu.eg/uploads/31c33367-d68b-4cda-a301-fe1f4ba814c6Tarek%20Fouda.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0125" cy="144970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br w:type="column"/>
      </w:r>
      <w:r w:rsidR="00A9710C">
        <w:rPr>
          <w:color w:val="BF5A14"/>
        </w:rPr>
        <w:lastRenderedPageBreak/>
        <w:t>Image</w:t>
      </w:r>
    </w:p>
    <w:p w:rsidR="006A6AE9" w:rsidRDefault="006A6AE9" w:rsidP="006A6AE9">
      <w:pPr>
        <w:rPr>
          <w:color w:val="000000"/>
          <w:sz w:val="24"/>
        </w:rPr>
      </w:pPr>
      <w:r>
        <w:rPr>
          <w:noProof/>
        </w:rPr>
        <w:drawing>
          <wp:inline distT="0" distB="0" distL="0" distR="0" wp14:anchorId="107872F7" wp14:editId="77DF2B52">
            <wp:extent cx="3423513" cy="1543507"/>
            <wp:effectExtent l="0" t="0" r="24765" b="19050"/>
            <wp:docPr id="2" name="مخطط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A249E8">
        <w:rPr>
          <w:color w:val="000000"/>
          <w:sz w:val="24"/>
        </w:rPr>
        <w:t xml:space="preserve"> </w:t>
      </w:r>
    </w:p>
    <w:p w:rsidR="006A6AE9" w:rsidRPr="0061061F" w:rsidRDefault="006A6AE9" w:rsidP="006A6AE9">
      <w:pPr>
        <w:rPr>
          <w:color w:val="000000"/>
          <w:sz w:val="24"/>
        </w:rPr>
      </w:pPr>
      <w:r>
        <w:rPr>
          <w:color w:val="000000"/>
          <w:sz w:val="24"/>
        </w:rPr>
        <w:t xml:space="preserve">Fig. 11. the amount of oil extracted from by products </w:t>
      </w:r>
      <w:r>
        <w:rPr>
          <w:bCs/>
          <w:color w:val="000000"/>
          <w:sz w:val="20"/>
          <w:szCs w:val="20"/>
        </w:rPr>
        <w:t>(cold pressing after 200 min.)</w:t>
      </w:r>
      <w:r>
        <w:rPr>
          <w:color w:val="000000"/>
          <w:sz w:val="24"/>
        </w:rPr>
        <w:t xml:space="preserve"> </w:t>
      </w:r>
    </w:p>
    <w:p w:rsidR="006A6AE9" w:rsidRDefault="006A6AE9" w:rsidP="006A6AE9">
      <w:pPr>
        <w:rPr>
          <w:color w:val="000000"/>
          <w:sz w:val="24"/>
        </w:rPr>
      </w:pPr>
      <w:r w:rsidRPr="000D54E4">
        <w:rPr>
          <w:color w:val="000000"/>
          <w:sz w:val="20"/>
          <w:szCs w:val="20"/>
        </w:rPr>
        <w:t>Source: Author determination</w:t>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89007A" w:rsidRPr="0089007A" w:rsidRDefault="0089007A" w:rsidP="0089007A">
      <w:pPr>
        <w:widowControl/>
        <w:numPr>
          <w:ilvl w:val="0"/>
          <w:numId w:val="3"/>
        </w:numPr>
        <w:suppressAutoHyphens/>
        <w:jc w:val="lowKashida"/>
        <w:rPr>
          <w:rFonts w:ascii="Calibri" w:eastAsia="Calibri" w:hAnsi="Calibri" w:cs="Calibri"/>
          <w:sz w:val="18"/>
        </w:rPr>
      </w:pPr>
      <w:proofErr w:type="spellStart"/>
      <w:r w:rsidRPr="0089007A">
        <w:rPr>
          <w:rFonts w:ascii="Calibri" w:eastAsia="Calibri" w:hAnsi="Calibri" w:cs="Calibri"/>
          <w:sz w:val="18"/>
        </w:rPr>
        <w:t>Fouda</w:t>
      </w:r>
      <w:proofErr w:type="spellEnd"/>
      <w:r w:rsidRPr="0089007A">
        <w:rPr>
          <w:rFonts w:ascii="Calibri" w:eastAsia="Calibri" w:hAnsi="Calibri" w:cs="Calibri"/>
          <w:sz w:val="18"/>
        </w:rPr>
        <w:t xml:space="preserve">, T.Z (2018) Waste Management For Smoking Salmon By- Products To Extract Omega-3 Fish Oil Scientific Papers Series Management, Economic Engineering in Agriculture and Rural Development  Vol. 18, Issue 3, 2018  PRINT ISSN 284-7995, E-ISSN 2285-3952  </w:t>
      </w:r>
    </w:p>
    <w:p w:rsidR="0089007A" w:rsidRPr="0089007A" w:rsidRDefault="0089007A" w:rsidP="0089007A">
      <w:pPr>
        <w:widowControl/>
        <w:numPr>
          <w:ilvl w:val="0"/>
          <w:numId w:val="3"/>
        </w:numPr>
        <w:suppressAutoHyphens/>
        <w:jc w:val="lowKashida"/>
        <w:rPr>
          <w:rFonts w:ascii="Calibri" w:eastAsia="Calibri" w:hAnsi="Calibri" w:cs="Calibri"/>
          <w:sz w:val="18"/>
        </w:rPr>
      </w:pPr>
      <w:r w:rsidRPr="0089007A">
        <w:rPr>
          <w:rFonts w:ascii="Calibri" w:eastAsia="Calibri" w:hAnsi="Calibri" w:cs="Calibri"/>
          <w:sz w:val="18"/>
        </w:rPr>
        <w:t xml:space="preserve"> </w:t>
      </w:r>
      <w:proofErr w:type="spellStart"/>
      <w:r w:rsidRPr="0089007A">
        <w:rPr>
          <w:rFonts w:ascii="Calibri" w:eastAsia="Calibri" w:hAnsi="Calibri" w:cs="Calibri"/>
          <w:sz w:val="18"/>
        </w:rPr>
        <w:t>Ghaly</w:t>
      </w:r>
      <w:proofErr w:type="spellEnd"/>
      <w:r w:rsidRPr="0089007A">
        <w:rPr>
          <w:rFonts w:ascii="Calibri" w:eastAsia="Calibri" w:hAnsi="Calibri" w:cs="Calibri"/>
          <w:sz w:val="18"/>
        </w:rPr>
        <w:t xml:space="preserve">,  A.  E.,  Dave,  D.,  Brooks,  M.  S.,  Budge,  S. M.,  2010,  Production  of  </w:t>
      </w:r>
      <w:proofErr w:type="spellStart"/>
      <w:r w:rsidRPr="0089007A">
        <w:rPr>
          <w:rFonts w:ascii="Calibri" w:eastAsia="Calibri" w:hAnsi="Calibri" w:cs="Calibri"/>
          <w:sz w:val="18"/>
        </w:rPr>
        <w:t>biodieselby</w:t>
      </w:r>
      <w:proofErr w:type="spellEnd"/>
      <w:r w:rsidRPr="0089007A">
        <w:rPr>
          <w:rFonts w:ascii="Calibri" w:eastAsia="Calibri" w:hAnsi="Calibri" w:cs="Calibri"/>
          <w:sz w:val="18"/>
        </w:rPr>
        <w:t xml:space="preserve">  enzymatic </w:t>
      </w:r>
      <w:proofErr w:type="spellStart"/>
      <w:r w:rsidRPr="0089007A">
        <w:rPr>
          <w:rFonts w:ascii="Calibri" w:eastAsia="Calibri" w:hAnsi="Calibri" w:cs="Calibri"/>
          <w:sz w:val="18"/>
        </w:rPr>
        <w:t>transesterification</w:t>
      </w:r>
      <w:proofErr w:type="spellEnd"/>
      <w:r w:rsidRPr="0089007A">
        <w:rPr>
          <w:rFonts w:ascii="Calibri" w:eastAsia="Calibri" w:hAnsi="Calibri" w:cs="Calibri"/>
          <w:sz w:val="18"/>
        </w:rPr>
        <w:t>:  A critical review.  American Journal of Biochemistry and Biotechnology, 6:54-76.</w:t>
      </w:r>
    </w:p>
    <w:p w:rsidR="0089007A" w:rsidRPr="0089007A" w:rsidRDefault="0089007A" w:rsidP="0089007A">
      <w:pPr>
        <w:widowControl/>
        <w:numPr>
          <w:ilvl w:val="0"/>
          <w:numId w:val="3"/>
        </w:numPr>
        <w:suppressAutoHyphens/>
        <w:jc w:val="lowKashida"/>
        <w:rPr>
          <w:rFonts w:ascii="Calibri" w:eastAsia="Calibri" w:hAnsi="Calibri" w:cs="Calibri"/>
          <w:sz w:val="18"/>
        </w:rPr>
      </w:pPr>
      <w:r w:rsidRPr="0089007A">
        <w:rPr>
          <w:rFonts w:ascii="Calibri" w:eastAsia="Calibri" w:hAnsi="Calibri" w:cs="Calibri"/>
          <w:sz w:val="18"/>
        </w:rPr>
        <w:t xml:space="preserve">Kazuo Miyashita (2019) Prevention of Fish Oil Oxidation Journal of Oleo </w:t>
      </w:r>
      <w:proofErr w:type="spellStart"/>
      <w:r w:rsidRPr="0089007A">
        <w:rPr>
          <w:rFonts w:ascii="Calibri" w:eastAsia="Calibri" w:hAnsi="Calibri" w:cs="Calibri"/>
          <w:sz w:val="18"/>
        </w:rPr>
        <w:t>ScienceCopyright</w:t>
      </w:r>
      <w:proofErr w:type="spellEnd"/>
      <w:r w:rsidRPr="0089007A">
        <w:rPr>
          <w:rFonts w:ascii="Calibri" w:eastAsia="Calibri" w:hAnsi="Calibri" w:cs="Calibri"/>
          <w:sz w:val="18"/>
        </w:rPr>
        <w:t xml:space="preserve"> ©2019 by Japan Oil Chemists’ Society </w:t>
      </w:r>
      <w:proofErr w:type="spellStart"/>
      <w:r w:rsidRPr="0089007A">
        <w:rPr>
          <w:rFonts w:ascii="Calibri" w:eastAsia="Calibri" w:hAnsi="Calibri" w:cs="Calibri"/>
          <w:sz w:val="18"/>
        </w:rPr>
        <w:t>doi</w:t>
      </w:r>
      <w:proofErr w:type="spellEnd"/>
      <w:r w:rsidRPr="0089007A">
        <w:rPr>
          <w:rFonts w:ascii="Calibri" w:eastAsia="Calibri" w:hAnsi="Calibri" w:cs="Calibri"/>
          <w:sz w:val="18"/>
        </w:rPr>
        <w:t>: 10.5650/jos.ess18144J. Oleo Sci. 68, (1) 1-11 (2019)</w:t>
      </w:r>
    </w:p>
    <w:p w:rsidR="0089007A" w:rsidRPr="0089007A" w:rsidRDefault="0089007A" w:rsidP="0089007A">
      <w:pPr>
        <w:widowControl/>
        <w:numPr>
          <w:ilvl w:val="0"/>
          <w:numId w:val="3"/>
        </w:numPr>
        <w:suppressAutoHyphens/>
        <w:jc w:val="lowKashida"/>
        <w:rPr>
          <w:rFonts w:ascii="Calibri" w:eastAsia="Calibri" w:hAnsi="Calibri" w:cs="Calibri"/>
          <w:sz w:val="18"/>
        </w:rPr>
      </w:pPr>
      <w:proofErr w:type="spellStart"/>
      <w:r w:rsidRPr="0089007A">
        <w:rPr>
          <w:rFonts w:ascii="Calibri" w:eastAsia="Calibri" w:hAnsi="Calibri" w:cs="Calibri"/>
          <w:sz w:val="18"/>
        </w:rPr>
        <w:t>Khoshmanesh</w:t>
      </w:r>
      <w:proofErr w:type="spellEnd"/>
      <w:r w:rsidRPr="0089007A">
        <w:rPr>
          <w:rFonts w:ascii="Calibri" w:eastAsia="Calibri" w:hAnsi="Calibri" w:cs="Calibri"/>
          <w:sz w:val="18"/>
        </w:rPr>
        <w:t xml:space="preserve">, S. (2006). Design of Solar Dehydrator, Coupled with Energy Storage in Rock Bed Reservoir for Fish Drying Process. International Conference on Energy and Environment (ICEE), </w:t>
      </w:r>
      <w:proofErr w:type="spellStart"/>
      <w:r w:rsidRPr="0089007A">
        <w:rPr>
          <w:rFonts w:ascii="Calibri" w:eastAsia="Calibri" w:hAnsi="Calibri" w:cs="Calibri"/>
          <w:sz w:val="18"/>
        </w:rPr>
        <w:t>Universiti</w:t>
      </w:r>
      <w:proofErr w:type="spellEnd"/>
      <w:r w:rsidRPr="0089007A">
        <w:rPr>
          <w:rFonts w:ascii="Calibri" w:eastAsia="Calibri" w:hAnsi="Calibri" w:cs="Calibri"/>
          <w:sz w:val="18"/>
        </w:rPr>
        <w:t xml:space="preserve"> </w:t>
      </w:r>
      <w:proofErr w:type="spellStart"/>
      <w:r w:rsidRPr="0089007A">
        <w:rPr>
          <w:rFonts w:ascii="Calibri" w:eastAsia="Calibri" w:hAnsi="Calibri" w:cs="Calibri"/>
          <w:sz w:val="18"/>
        </w:rPr>
        <w:t>Tenaga</w:t>
      </w:r>
      <w:proofErr w:type="spellEnd"/>
      <w:r w:rsidRPr="0089007A">
        <w:rPr>
          <w:rFonts w:ascii="Calibri" w:eastAsia="Calibri" w:hAnsi="Calibri" w:cs="Calibri"/>
          <w:sz w:val="18"/>
        </w:rPr>
        <w:t xml:space="preserve"> </w:t>
      </w:r>
      <w:proofErr w:type="spellStart"/>
      <w:r w:rsidRPr="0089007A">
        <w:rPr>
          <w:rFonts w:ascii="Calibri" w:eastAsia="Calibri" w:hAnsi="Calibri" w:cs="Calibri"/>
          <w:sz w:val="18"/>
        </w:rPr>
        <w:t>Nasional</w:t>
      </w:r>
      <w:proofErr w:type="spellEnd"/>
      <w:r w:rsidRPr="0089007A">
        <w:rPr>
          <w:rFonts w:ascii="Calibri" w:eastAsia="Calibri" w:hAnsi="Calibri" w:cs="Calibri"/>
          <w:sz w:val="18"/>
        </w:rPr>
        <w:t xml:space="preserve">, </w:t>
      </w:r>
      <w:proofErr w:type="spellStart"/>
      <w:r w:rsidRPr="0089007A">
        <w:rPr>
          <w:rFonts w:ascii="Calibri" w:eastAsia="Calibri" w:hAnsi="Calibri" w:cs="Calibri"/>
          <w:sz w:val="18"/>
        </w:rPr>
        <w:t>Bangi</w:t>
      </w:r>
      <w:proofErr w:type="spellEnd"/>
      <w:r w:rsidRPr="0089007A">
        <w:rPr>
          <w:rFonts w:ascii="Calibri" w:eastAsia="Calibri" w:hAnsi="Calibri" w:cs="Calibri"/>
          <w:sz w:val="18"/>
        </w:rPr>
        <w:t xml:space="preserve">, Selangor, Malaysia, 28-30 August 2006, pp. 1-8.  </w:t>
      </w:r>
    </w:p>
    <w:p w:rsidR="0089007A" w:rsidRPr="0089007A" w:rsidRDefault="0089007A" w:rsidP="0089007A">
      <w:pPr>
        <w:widowControl/>
        <w:numPr>
          <w:ilvl w:val="0"/>
          <w:numId w:val="3"/>
        </w:numPr>
        <w:suppressAutoHyphens/>
        <w:jc w:val="lowKashida"/>
        <w:rPr>
          <w:rFonts w:ascii="Calibri" w:eastAsia="Calibri" w:hAnsi="Calibri" w:cs="Calibri"/>
          <w:sz w:val="18"/>
        </w:rPr>
      </w:pPr>
      <w:r w:rsidRPr="0089007A">
        <w:rPr>
          <w:rFonts w:ascii="Calibri" w:eastAsia="Calibri" w:hAnsi="Calibri" w:cs="Calibri"/>
          <w:sz w:val="18"/>
        </w:rPr>
        <w:t xml:space="preserve">Lin,  C.  Y.,  Li,  R.  J.,  2009,  Fuel  properties  of biodiesel  produced  from  the  crude  fish  oil  from  the </w:t>
      </w:r>
      <w:proofErr w:type="spellStart"/>
      <w:r w:rsidRPr="0089007A">
        <w:rPr>
          <w:rFonts w:ascii="Calibri" w:eastAsia="Calibri" w:hAnsi="Calibri" w:cs="Calibri"/>
          <w:sz w:val="18"/>
        </w:rPr>
        <w:t>soapstock</w:t>
      </w:r>
      <w:proofErr w:type="spellEnd"/>
      <w:r w:rsidRPr="0089007A">
        <w:rPr>
          <w:rFonts w:ascii="Calibri" w:eastAsia="Calibri" w:hAnsi="Calibri" w:cs="Calibri"/>
          <w:sz w:val="18"/>
        </w:rPr>
        <w:t xml:space="preserve">  of  marine  fish.  Fuel  processing  technology, 90(1), 130-136.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478DCE77" wp14:editId="263697C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6A6AE9">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bookmarkStart w:id="0" w:name="_GoBack"/>
      <w:bookmarkEnd w:id="0"/>
    </w:p>
    <w:p w:rsidR="006A6AE9" w:rsidRPr="006A6AE9" w:rsidRDefault="006A6AE9" w:rsidP="006A6AE9">
      <w:pPr>
        <w:jc w:val="both"/>
        <w:rPr>
          <w:rFonts w:ascii="Arial"/>
          <w:sz w:val="14"/>
        </w:rPr>
      </w:pPr>
      <w:proofErr w:type="spellStart"/>
      <w:r w:rsidRPr="006A6AE9">
        <w:rPr>
          <w:rFonts w:ascii="Arial"/>
          <w:sz w:val="14"/>
        </w:rPr>
        <w:t>Prof.Dr</w:t>
      </w:r>
      <w:proofErr w:type="spellEnd"/>
      <w:r w:rsidRPr="006A6AE9">
        <w:rPr>
          <w:rFonts w:ascii="Arial"/>
          <w:sz w:val="14"/>
        </w:rPr>
        <w:t xml:space="preserve">. </w:t>
      </w:r>
      <w:proofErr w:type="spellStart"/>
      <w:r w:rsidRPr="006A6AE9">
        <w:rPr>
          <w:rFonts w:ascii="Arial"/>
          <w:sz w:val="14"/>
        </w:rPr>
        <w:t>Tarek</w:t>
      </w:r>
      <w:proofErr w:type="spellEnd"/>
      <w:r w:rsidRPr="006A6AE9">
        <w:rPr>
          <w:rFonts w:ascii="Arial"/>
          <w:sz w:val="14"/>
        </w:rPr>
        <w:t xml:space="preserve"> </w:t>
      </w:r>
      <w:proofErr w:type="spellStart"/>
      <w:r w:rsidRPr="006A6AE9">
        <w:rPr>
          <w:rFonts w:ascii="Arial"/>
          <w:sz w:val="14"/>
        </w:rPr>
        <w:t>Fouda</w:t>
      </w:r>
      <w:proofErr w:type="spellEnd"/>
      <w:r w:rsidRPr="006A6AE9">
        <w:rPr>
          <w:rFonts w:ascii="Arial"/>
          <w:sz w:val="14"/>
        </w:rPr>
        <w:t xml:space="preserve">  has completed his PhD at the age of 34 years from </w:t>
      </w:r>
      <w:proofErr w:type="spellStart"/>
      <w:r w:rsidRPr="006A6AE9">
        <w:rPr>
          <w:rFonts w:ascii="Arial"/>
          <w:sz w:val="14"/>
        </w:rPr>
        <w:t>Zagazeg</w:t>
      </w:r>
      <w:proofErr w:type="spellEnd"/>
      <w:r w:rsidRPr="006A6AE9">
        <w:rPr>
          <w:rFonts w:ascii="Arial"/>
          <w:sz w:val="14"/>
        </w:rPr>
        <w:t xml:space="preserve"> University, Egypt  and Postdoctoral Studies from Agricultural process Engineering, laboratory, Agricultural Engineering department, faculty of Agricultural  Kyoto university, Japan and Visiting Professor, Dept. of Biological and Environmental Sciences, School of Natural Sciences, University of </w:t>
      </w:r>
      <w:proofErr w:type="spellStart"/>
      <w:r w:rsidRPr="006A6AE9">
        <w:rPr>
          <w:rFonts w:ascii="Arial"/>
          <w:sz w:val="14"/>
        </w:rPr>
        <w:t>Stirling</w:t>
      </w:r>
      <w:proofErr w:type="spellEnd"/>
      <w:r w:rsidRPr="006A6AE9">
        <w:rPr>
          <w:rFonts w:ascii="Arial"/>
          <w:sz w:val="14"/>
        </w:rPr>
        <w:t xml:space="preserve">, FK9 4LA, </w:t>
      </w:r>
      <w:proofErr w:type="spellStart"/>
      <w:r w:rsidRPr="006A6AE9">
        <w:rPr>
          <w:rFonts w:ascii="Arial"/>
          <w:sz w:val="14"/>
        </w:rPr>
        <w:t>Stirling</w:t>
      </w:r>
      <w:proofErr w:type="spellEnd"/>
      <w:r w:rsidRPr="006A6AE9">
        <w:rPr>
          <w:rFonts w:ascii="Arial"/>
          <w:sz w:val="14"/>
        </w:rPr>
        <w:t xml:space="preserve"> United Kingdom. He is the Head of Agricultural Engineering Department, Faculty Of Agriculture At Tanta University, and last job Vice dean for environment and community affairs , Faculty of </w:t>
      </w:r>
      <w:r>
        <w:rPr>
          <w:rFonts w:ascii="Arial"/>
          <w:sz w:val="14"/>
        </w:rPr>
        <w:t xml:space="preserve">Agriculture at Tanta university. </w:t>
      </w:r>
      <w:r w:rsidRPr="006A6AE9">
        <w:rPr>
          <w:rFonts w:ascii="Arial"/>
          <w:sz w:val="14"/>
        </w:rPr>
        <w:t xml:space="preserve">He has published more than 90  papers in reputed journals and has been serving as an editorial board member of repute. </w:t>
      </w:r>
    </w:p>
    <w:p w:rsidR="006A6AE9" w:rsidRPr="00DF4D88" w:rsidRDefault="006A6AE9" w:rsidP="006A6AE9">
      <w:pPr>
        <w:spacing w:before="41" w:line="154" w:lineRule="exact"/>
        <w:ind w:left="213" w:right="231"/>
        <w:jc w:val="both"/>
        <w:rPr>
          <w:rFonts w:ascii="Times New Roman" w:hAnsi="Times New Roman"/>
          <w:color w:val="000000"/>
          <w:sz w:val="24"/>
          <w:szCs w:val="24"/>
          <w:lang w:bidi="ar-EG"/>
        </w:rPr>
      </w:pPr>
      <w:r w:rsidRPr="006A6AE9">
        <w:rPr>
          <w:rFonts w:ascii="Arial"/>
          <w:sz w:val="14"/>
        </w:rPr>
        <w:t xml:space="preserve">E-mail: </w:t>
      </w:r>
      <w:r w:rsidRPr="006A6AE9">
        <w:rPr>
          <w:rFonts w:ascii="Arial"/>
          <w:sz w:val="14"/>
          <w:rtl/>
        </w:rPr>
        <w:t xml:space="preserve"> </w:t>
      </w:r>
      <w:r w:rsidRPr="006A6AE9">
        <w:rPr>
          <w:rFonts w:ascii="Arial"/>
          <w:sz w:val="14"/>
        </w:rPr>
        <w:t xml:space="preserve">tfouda@yahoo.com   </w:t>
      </w:r>
      <w:hyperlink r:id="rId14" w:history="1">
        <w:r w:rsidRPr="006A6AE9">
          <w:rPr>
            <w:rFonts w:ascii="Arial"/>
            <w:sz w:val="14"/>
          </w:rPr>
          <w:t>tfouda628@gmail.com</w:t>
        </w:r>
      </w:hyperlink>
      <w:r w:rsidRPr="006A6AE9">
        <w:rPr>
          <w:rFonts w:ascii="Arial"/>
          <w:sz w:val="14"/>
        </w:rPr>
        <w:t xml:space="preserve">  </w:t>
      </w:r>
      <w:hyperlink r:id="rId15" w:history="1">
        <w:r w:rsidRPr="006A6AE9">
          <w:rPr>
            <w:rFonts w:ascii="Arial"/>
            <w:sz w:val="14"/>
          </w:rPr>
          <w:t>tfouda@agr.tanta.edu.</w:t>
        </w:r>
        <w:r w:rsidRPr="006A6AE9">
          <w:rPr>
            <w:rFonts w:ascii="Arial"/>
            <w:sz w:val="14"/>
          </w:rPr>
          <w:t xml:space="preserve"> </w:t>
        </w:r>
        <w:proofErr w:type="spellStart"/>
        <w:r w:rsidRPr="006A6AE9">
          <w:rPr>
            <w:rFonts w:ascii="Arial"/>
            <w:sz w:val="14"/>
          </w:rPr>
          <w:t>eg</w:t>
        </w:r>
        <w:proofErr w:type="spellEnd"/>
      </w:hyperlink>
    </w:p>
    <w:p w:rsidR="00AE3E37" w:rsidRDefault="00292ED9" w:rsidP="006A6AE9">
      <w:pPr>
        <w:spacing w:before="62"/>
        <w:ind w:left="4217" w:right="4235"/>
        <w:jc w:val="center"/>
        <w:rPr>
          <w:rFonts w:ascii="Arial"/>
          <w:sz w:val="19"/>
        </w:rPr>
      </w:pPr>
      <w:r>
        <w:rPr>
          <w:noProof/>
        </w:rPr>
        <mc:AlternateContent>
          <mc:Choice Requires="wps">
            <w:drawing>
              <wp:anchor distT="0" distB="0" distL="0" distR="0" simplePos="0" relativeHeight="1072" behindDoc="0" locked="0" layoutInCell="1" allowOverlap="1" wp14:anchorId="4527B2CE" wp14:editId="1F03646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918" w:rsidRDefault="00915918">
      <w:r>
        <w:separator/>
      </w:r>
    </w:p>
  </w:endnote>
  <w:endnote w:type="continuationSeparator" w:id="0">
    <w:p w:rsidR="00915918" w:rsidRDefault="00915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918" w:rsidRDefault="00915918">
      <w:r>
        <w:separator/>
      </w:r>
    </w:p>
  </w:footnote>
  <w:footnote w:type="continuationSeparator" w:id="0">
    <w:p w:rsidR="00915918" w:rsidRDefault="00915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1E316D2"/>
    <w:multiLevelType w:val="hybridMultilevel"/>
    <w:tmpl w:val="77289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3747"/>
    <w:rsid w:val="002455EC"/>
    <w:rsid w:val="00292ED9"/>
    <w:rsid w:val="003003D4"/>
    <w:rsid w:val="00404E5B"/>
    <w:rsid w:val="00414F7B"/>
    <w:rsid w:val="004355DC"/>
    <w:rsid w:val="004749B4"/>
    <w:rsid w:val="00494130"/>
    <w:rsid w:val="004F3523"/>
    <w:rsid w:val="005973B9"/>
    <w:rsid w:val="005B3A56"/>
    <w:rsid w:val="006060CE"/>
    <w:rsid w:val="0063497F"/>
    <w:rsid w:val="006A6AE9"/>
    <w:rsid w:val="00873DF0"/>
    <w:rsid w:val="008756E6"/>
    <w:rsid w:val="0089007A"/>
    <w:rsid w:val="008A08B6"/>
    <w:rsid w:val="00915918"/>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customStyle="1" w:styleId="MSEAffiliationContact">
    <w:name w:val="_MSE_Affiliation&amp;Contact"/>
    <w:basedOn w:val="a"/>
    <w:rsid w:val="0089007A"/>
    <w:pPr>
      <w:widowControl/>
      <w:suppressAutoHyphens/>
      <w:spacing w:after="360"/>
      <w:contextualSpacing/>
      <w:jc w:val="center"/>
    </w:pPr>
    <w:rPr>
      <w:rFonts w:ascii="Times New Roman" w:eastAsia="Times New Roman" w:hAnsi="Times New Roman" w:cs="Times New Roman"/>
      <w:sz w:val="20"/>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customStyle="1" w:styleId="MSEAffiliationContact">
    <w:name w:val="_MSE_Affiliation&amp;Contact"/>
    <w:basedOn w:val="a"/>
    <w:rsid w:val="0089007A"/>
    <w:pPr>
      <w:widowControl/>
      <w:suppressAutoHyphens/>
      <w:spacing w:after="360"/>
      <w:contextualSpacing/>
      <w:jc w:val="center"/>
    </w:pPr>
    <w:rPr>
      <w:rFonts w:ascii="Times New Roman" w:eastAsia="Times New Roman" w:hAnsi="Times New Roman" w:cs="Times New Roman"/>
      <w:sz w:val="20"/>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fouda628@gmail.com" TargetMode="External"/><Relationship Id="rId13" Type="http://schemas.openxmlformats.org/officeDocument/2006/relationships/chart" Target="charts/chart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mailto:tfouda@agr.tanta.edu.eg"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fouda628@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Dr%20TAREK\Desktop\cold%20pressB.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Dr%20TAREK\Desktop\cold%20press1.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EG"/>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a:pPr>
            <a:r>
              <a:rPr lang="en-GB"/>
              <a:t>Salmon components group B</a:t>
            </a:r>
          </a:p>
        </c:rich>
      </c:tx>
      <c:overlay val="0"/>
    </c:title>
    <c:autoTitleDeleted val="0"/>
    <c:view3D>
      <c:rotX val="75"/>
      <c:rotY val="360"/>
      <c:rAngAx val="0"/>
      <c:perspective val="30"/>
    </c:view3D>
    <c:floor>
      <c:thickness val="0"/>
    </c:floor>
    <c:sideWall>
      <c:thickness val="0"/>
    </c:sideWall>
    <c:backWall>
      <c:thickness val="0"/>
    </c:backWall>
    <c:plotArea>
      <c:layout/>
      <c:pie3DChart>
        <c:varyColors val="1"/>
        <c:ser>
          <c:idx val="0"/>
          <c:order val="0"/>
          <c:explosion val="25"/>
          <c:dLbls>
            <c:showLegendKey val="0"/>
            <c:showVal val="0"/>
            <c:showCatName val="0"/>
            <c:showSerName val="0"/>
            <c:showPercent val="1"/>
            <c:showBubbleSize val="0"/>
            <c:showLeaderLines val="1"/>
          </c:dLbls>
          <c:cat>
            <c:strRef>
              <c:f>Sheet2!$G$32:$M$32</c:f>
              <c:strCache>
                <c:ptCount val="7"/>
                <c:pt idx="0">
                  <c:v>Salmon slice</c:v>
                </c:pt>
                <c:pt idx="1">
                  <c:v>Backbone Frames  </c:v>
                </c:pt>
                <c:pt idx="2">
                  <c:v>Viscera</c:v>
                </c:pt>
                <c:pt idx="3">
                  <c:v>Trimmings</c:v>
                </c:pt>
                <c:pt idx="4">
                  <c:v>Off  Cuts </c:v>
                </c:pt>
                <c:pt idx="5">
                  <c:v>Skin</c:v>
                </c:pt>
                <c:pt idx="6">
                  <c:v>Head,</c:v>
                </c:pt>
              </c:strCache>
            </c:strRef>
          </c:cat>
          <c:val>
            <c:numRef>
              <c:f>Sheet2!$G$33:$M$33</c:f>
              <c:numCache>
                <c:formatCode>General</c:formatCode>
                <c:ptCount val="7"/>
                <c:pt idx="0">
                  <c:v>48.8</c:v>
                </c:pt>
                <c:pt idx="1">
                  <c:v>7.6</c:v>
                </c:pt>
                <c:pt idx="2">
                  <c:v>11</c:v>
                </c:pt>
                <c:pt idx="3">
                  <c:v>9</c:v>
                </c:pt>
                <c:pt idx="4">
                  <c:v>3</c:v>
                </c:pt>
                <c:pt idx="5">
                  <c:v>3.6</c:v>
                </c:pt>
                <c:pt idx="6">
                  <c:v>17</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txPr>
    <a:bodyPr/>
    <a:lstStyle/>
    <a:p>
      <a:pPr>
        <a:defRPr sz="800"/>
      </a:pPr>
      <a:endParaRPr lang="ar-EG"/>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EG"/>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9387254901960787E-2"/>
          <c:y val="5.0400916380297825E-2"/>
          <c:w val="0.73496043693067781"/>
          <c:h val="0.70517015269998462"/>
        </c:manualLayout>
      </c:layout>
      <c:barChart>
        <c:barDir val="bar"/>
        <c:grouping val="clustered"/>
        <c:varyColors val="0"/>
        <c:ser>
          <c:idx val="0"/>
          <c:order val="0"/>
          <c:spPr>
            <a:solidFill>
              <a:schemeClr val="tx2">
                <a:lumMod val="50000"/>
              </a:schemeClr>
            </a:solidFill>
          </c:spPr>
          <c:invertIfNegative val="0"/>
          <c:cat>
            <c:strRef>
              <c:f>Sheet2!$F$1:$K$1</c:f>
              <c:strCache>
                <c:ptCount val="6"/>
                <c:pt idx="0">
                  <c:v>Backbone Frames  </c:v>
                </c:pt>
                <c:pt idx="1">
                  <c:v>Viscera</c:v>
                </c:pt>
                <c:pt idx="2">
                  <c:v>Terming</c:v>
                </c:pt>
                <c:pt idx="3">
                  <c:v>Off  Cuts </c:v>
                </c:pt>
                <c:pt idx="4">
                  <c:v>Skin</c:v>
                </c:pt>
                <c:pt idx="5">
                  <c:v>Head,</c:v>
                </c:pt>
              </c:strCache>
            </c:strRef>
          </c:cat>
          <c:val>
            <c:numRef>
              <c:f>Sheet2!$F$2:$K$2</c:f>
              <c:numCache>
                <c:formatCode>General</c:formatCode>
                <c:ptCount val="6"/>
                <c:pt idx="0">
                  <c:v>90</c:v>
                </c:pt>
                <c:pt idx="1">
                  <c:v>178</c:v>
                </c:pt>
                <c:pt idx="2">
                  <c:v>188</c:v>
                </c:pt>
                <c:pt idx="3">
                  <c:v>86</c:v>
                </c:pt>
                <c:pt idx="4">
                  <c:v>210</c:v>
                </c:pt>
                <c:pt idx="5">
                  <c:v>190</c:v>
                </c:pt>
              </c:numCache>
            </c:numRef>
          </c:val>
        </c:ser>
        <c:ser>
          <c:idx val="1"/>
          <c:order val="1"/>
          <c:spPr>
            <a:solidFill>
              <a:schemeClr val="accent3">
                <a:lumMod val="50000"/>
              </a:schemeClr>
            </a:solidFill>
          </c:spPr>
          <c:invertIfNegative val="0"/>
          <c:cat>
            <c:strRef>
              <c:f>Sheet2!$F$1:$K$1</c:f>
              <c:strCache>
                <c:ptCount val="6"/>
                <c:pt idx="0">
                  <c:v>Backbone Frames  </c:v>
                </c:pt>
                <c:pt idx="1">
                  <c:v>Viscera</c:v>
                </c:pt>
                <c:pt idx="2">
                  <c:v>Terming</c:v>
                </c:pt>
                <c:pt idx="3">
                  <c:v>Off  Cuts </c:v>
                </c:pt>
                <c:pt idx="4">
                  <c:v>Skin</c:v>
                </c:pt>
                <c:pt idx="5">
                  <c:v>Head,</c:v>
                </c:pt>
              </c:strCache>
            </c:strRef>
          </c:cat>
          <c:val>
            <c:numRef>
              <c:f>Sheet2!$F$3:$K$3</c:f>
              <c:numCache>
                <c:formatCode>General</c:formatCode>
                <c:ptCount val="6"/>
                <c:pt idx="0">
                  <c:v>70</c:v>
                </c:pt>
                <c:pt idx="1">
                  <c:v>152</c:v>
                </c:pt>
                <c:pt idx="2">
                  <c:v>160</c:v>
                </c:pt>
                <c:pt idx="3">
                  <c:v>56</c:v>
                </c:pt>
                <c:pt idx="4">
                  <c:v>181</c:v>
                </c:pt>
                <c:pt idx="5">
                  <c:v>170</c:v>
                </c:pt>
              </c:numCache>
            </c:numRef>
          </c:val>
        </c:ser>
        <c:dLbls>
          <c:showLegendKey val="0"/>
          <c:showVal val="0"/>
          <c:showCatName val="0"/>
          <c:showSerName val="0"/>
          <c:showPercent val="0"/>
          <c:showBubbleSize val="0"/>
        </c:dLbls>
        <c:gapWidth val="150"/>
        <c:axId val="186170368"/>
        <c:axId val="189383424"/>
      </c:barChart>
      <c:catAx>
        <c:axId val="186170368"/>
        <c:scaling>
          <c:orientation val="minMax"/>
        </c:scaling>
        <c:delete val="0"/>
        <c:axPos val="r"/>
        <c:majorGridlines/>
        <c:minorGridlines/>
        <c:majorTickMark val="out"/>
        <c:minorTickMark val="none"/>
        <c:tickLblPos val="nextTo"/>
        <c:crossAx val="189383424"/>
        <c:crosses val="autoZero"/>
        <c:auto val="1"/>
        <c:lblAlgn val="ctr"/>
        <c:lblOffset val="100"/>
        <c:noMultiLvlLbl val="0"/>
      </c:catAx>
      <c:valAx>
        <c:axId val="189383424"/>
        <c:scaling>
          <c:orientation val="maxMin"/>
        </c:scaling>
        <c:delete val="0"/>
        <c:axPos val="b"/>
        <c:majorGridlines/>
        <c:minorGridlines/>
        <c:numFmt formatCode="General" sourceLinked="1"/>
        <c:majorTickMark val="out"/>
        <c:minorTickMark val="none"/>
        <c:tickLblPos val="nextTo"/>
        <c:crossAx val="186170368"/>
        <c:crosses val="autoZero"/>
        <c:crossBetween val="between"/>
      </c:valAx>
    </c:plotArea>
    <c:plotVisOnly val="1"/>
    <c:dispBlanksAs val="gap"/>
    <c:showDLblsOverMax val="0"/>
  </c:chart>
  <c:txPr>
    <a:bodyPr/>
    <a:lstStyle/>
    <a:p>
      <a:pPr>
        <a:defRPr sz="800"/>
      </a:pPr>
      <a:endParaRPr lang="ar-E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0.35478</cdr:x>
      <cdr:y>0.85567</cdr:y>
    </cdr:from>
    <cdr:to>
      <cdr:x>0.53125</cdr:x>
      <cdr:y>0.9622</cdr:y>
    </cdr:to>
    <cdr:sp macro="" textlink="">
      <cdr:nvSpPr>
        <cdr:cNvPr id="4" name="TextBox 3"/>
        <cdr:cNvSpPr txBox="1"/>
      </cdr:nvSpPr>
      <cdr:spPr>
        <a:xfrm xmlns:a="http://schemas.openxmlformats.org/drawingml/2006/main">
          <a:off x="1838325" y="2371725"/>
          <a:ext cx="914400" cy="295275"/>
        </a:xfrm>
        <a:prstGeom xmlns:a="http://schemas.openxmlformats.org/drawingml/2006/main" prst="rect">
          <a:avLst/>
        </a:prstGeom>
      </cdr:spPr>
      <cdr:txBody>
        <a:bodyPr xmlns:a="http://schemas.openxmlformats.org/drawingml/2006/main" vertOverflow="clip" wrap="none" rtlCol="1"/>
        <a:lstStyle xmlns:a="http://schemas.openxmlformats.org/drawingml/2006/main"/>
        <a:p xmlns:a="http://schemas.openxmlformats.org/drawingml/2006/main">
          <a:r>
            <a:rPr lang="en-GB" sz="800">
              <a:effectLst/>
              <a:latin typeface="+mn-lt"/>
              <a:ea typeface="+mn-ea"/>
              <a:cs typeface="+mn-cs"/>
            </a:rPr>
            <a:t>Oil  productivity g.oil/1000  g</a:t>
          </a:r>
          <a:r>
            <a:rPr lang="en-GB" sz="800" b="1" i="1">
              <a:effectLst/>
              <a:latin typeface="+mn-lt"/>
              <a:ea typeface="+mn-ea"/>
              <a:cs typeface="+mn-cs"/>
            </a:rPr>
            <a:t>   </a:t>
          </a:r>
          <a:endParaRPr lang="ar-EG" sz="8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TotalTime>
  <Pages>2</Pages>
  <Words>598</Words>
  <Characters>3412</Characters>
  <Application>Microsoft Office Word</Application>
  <DocSecurity>0</DocSecurity>
  <Lines>28</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Tarek</cp:lastModifiedBy>
  <cp:revision>3</cp:revision>
  <dcterms:created xsi:type="dcterms:W3CDTF">2020-01-27T21:52:00Z</dcterms:created>
  <dcterms:modified xsi:type="dcterms:W3CDTF">2020-01-27T21:59:00Z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