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2917" w:rsidRPr="00622917" w:rsidRDefault="00622917" w:rsidP="00622917">
      <w:pPr>
        <w:spacing w:line="240" w:lineRule="auto"/>
        <w:jc w:val="both"/>
        <w:rPr>
          <w:rFonts w:ascii="Arial" w:hAnsi="Arial" w:cs="Arial"/>
          <w:b/>
          <w:sz w:val="24"/>
          <w:szCs w:val="24"/>
          <w:lang w:val="en-US"/>
        </w:rPr>
      </w:pPr>
      <w:r w:rsidRPr="00622917">
        <w:rPr>
          <w:rFonts w:ascii="Arial" w:hAnsi="Arial" w:cs="Arial"/>
          <w:b/>
          <w:sz w:val="24"/>
          <w:szCs w:val="24"/>
          <w:lang w:val="en-US"/>
        </w:rPr>
        <w:t>Vitamin D supplementation negatively regulates Dengue virus infection and modulates the expression of toll-type receptors and cytokines in    monocytes-derived dendritic cells</w:t>
      </w:r>
    </w:p>
    <w:p w:rsidR="00622917" w:rsidRDefault="00622917" w:rsidP="00622917">
      <w:pPr>
        <w:spacing w:line="240" w:lineRule="auto"/>
        <w:jc w:val="both"/>
        <w:rPr>
          <w:rFonts w:ascii="Arial" w:hAnsi="Arial" w:cs="Arial"/>
          <w:sz w:val="24"/>
          <w:szCs w:val="24"/>
          <w:lang w:val="en-US"/>
        </w:rPr>
      </w:pPr>
      <w:proofErr w:type="spellStart"/>
      <w:r>
        <w:rPr>
          <w:rFonts w:ascii="Arial" w:hAnsi="Arial" w:cs="Arial"/>
          <w:sz w:val="24"/>
          <w:szCs w:val="24"/>
          <w:lang w:val="en-US"/>
        </w:rPr>
        <w:t>Jahnnyer</w:t>
      </w:r>
      <w:proofErr w:type="spellEnd"/>
      <w:r>
        <w:rPr>
          <w:rFonts w:ascii="Arial" w:hAnsi="Arial" w:cs="Arial"/>
          <w:sz w:val="24"/>
          <w:szCs w:val="24"/>
          <w:lang w:val="en-US"/>
        </w:rPr>
        <w:t xml:space="preserve"> Martinez</w:t>
      </w:r>
      <w:r w:rsidRPr="00622917">
        <w:rPr>
          <w:rFonts w:ascii="Arial" w:hAnsi="Arial" w:cs="Arial"/>
          <w:sz w:val="24"/>
          <w:szCs w:val="24"/>
          <w:vertAlign w:val="superscript"/>
          <w:lang w:val="en-US"/>
        </w:rPr>
        <w:t>1</w:t>
      </w:r>
      <w:r>
        <w:rPr>
          <w:rFonts w:ascii="Arial" w:hAnsi="Arial" w:cs="Arial"/>
          <w:sz w:val="24"/>
          <w:szCs w:val="24"/>
          <w:lang w:val="en-US"/>
        </w:rPr>
        <w:t xml:space="preserve"> and Silvio Urcuqui-Inchia</w:t>
      </w:r>
      <w:r w:rsidRPr="00622917">
        <w:rPr>
          <w:rFonts w:ascii="Arial" w:hAnsi="Arial" w:cs="Arial"/>
          <w:sz w:val="24"/>
          <w:szCs w:val="24"/>
          <w:vertAlign w:val="superscript"/>
          <w:lang w:val="en-US"/>
        </w:rPr>
        <w:t>1</w:t>
      </w:r>
    </w:p>
    <w:p w:rsidR="00622917" w:rsidRPr="00622917" w:rsidRDefault="00622917" w:rsidP="00622917">
      <w:pPr>
        <w:spacing w:line="240" w:lineRule="auto"/>
        <w:jc w:val="both"/>
        <w:rPr>
          <w:rFonts w:ascii="Arial" w:hAnsi="Arial" w:cs="Arial"/>
          <w:sz w:val="24"/>
          <w:szCs w:val="24"/>
        </w:rPr>
      </w:pPr>
      <w:r w:rsidRPr="00622917">
        <w:rPr>
          <w:rFonts w:ascii="Arial" w:hAnsi="Arial" w:cs="Arial"/>
          <w:sz w:val="24"/>
          <w:szCs w:val="24"/>
          <w:vertAlign w:val="superscript"/>
        </w:rPr>
        <w:t>1</w:t>
      </w:r>
      <w:r>
        <w:rPr>
          <w:rFonts w:ascii="Arial" w:hAnsi="Arial" w:cs="Arial"/>
          <w:sz w:val="24"/>
          <w:szCs w:val="24"/>
        </w:rPr>
        <w:t xml:space="preserve"> </w:t>
      </w:r>
      <w:r w:rsidRPr="00622917">
        <w:rPr>
          <w:rFonts w:ascii="Arial" w:hAnsi="Arial" w:cs="Arial"/>
          <w:sz w:val="24"/>
          <w:szCs w:val="24"/>
        </w:rPr>
        <w:t xml:space="preserve">Grupo </w:t>
      </w:r>
      <w:proofErr w:type="spellStart"/>
      <w:r w:rsidRPr="00622917">
        <w:rPr>
          <w:rFonts w:ascii="Arial" w:hAnsi="Arial" w:cs="Arial"/>
          <w:sz w:val="24"/>
          <w:szCs w:val="24"/>
        </w:rPr>
        <w:t>Inmunovirología</w:t>
      </w:r>
      <w:proofErr w:type="spellEnd"/>
      <w:r w:rsidRPr="00622917">
        <w:rPr>
          <w:rFonts w:ascii="Arial" w:hAnsi="Arial" w:cs="Arial"/>
          <w:sz w:val="24"/>
          <w:szCs w:val="24"/>
        </w:rPr>
        <w:t xml:space="preserve">, Facultad de Medicina, Universidad de Antioquia </w:t>
      </w:r>
      <w:proofErr w:type="spellStart"/>
      <w:r w:rsidRPr="00622917">
        <w:rPr>
          <w:rFonts w:ascii="Arial" w:hAnsi="Arial" w:cs="Arial"/>
          <w:sz w:val="24"/>
          <w:szCs w:val="24"/>
        </w:rPr>
        <w:t>UdeA</w:t>
      </w:r>
      <w:proofErr w:type="spellEnd"/>
      <w:r w:rsidRPr="00622917">
        <w:rPr>
          <w:rFonts w:ascii="Arial" w:hAnsi="Arial" w:cs="Arial"/>
          <w:sz w:val="24"/>
          <w:szCs w:val="24"/>
        </w:rPr>
        <w:t>, Medell</w:t>
      </w:r>
      <w:r>
        <w:rPr>
          <w:rFonts w:ascii="Arial" w:hAnsi="Arial" w:cs="Arial"/>
          <w:sz w:val="24"/>
          <w:szCs w:val="24"/>
        </w:rPr>
        <w:t>ín, Colombia</w:t>
      </w:r>
    </w:p>
    <w:p w:rsidR="00622917" w:rsidRDefault="00622917" w:rsidP="00622917">
      <w:pPr>
        <w:spacing w:line="240" w:lineRule="auto"/>
        <w:jc w:val="both"/>
        <w:rPr>
          <w:rFonts w:ascii="Arial" w:hAnsi="Arial" w:cs="Arial"/>
          <w:sz w:val="24"/>
          <w:szCs w:val="24"/>
          <w:lang w:val="en-US"/>
        </w:rPr>
      </w:pPr>
      <w:r w:rsidRPr="00DC5696">
        <w:rPr>
          <w:rFonts w:ascii="Arial" w:hAnsi="Arial" w:cs="Arial"/>
          <w:sz w:val="24"/>
          <w:szCs w:val="24"/>
          <w:lang w:val="en-US"/>
        </w:rPr>
        <w:t>Dengue is a public health problem worldwide and the most prevalent arthro</w:t>
      </w:r>
      <w:r>
        <w:rPr>
          <w:rFonts w:ascii="Arial" w:hAnsi="Arial" w:cs="Arial"/>
          <w:sz w:val="24"/>
          <w:szCs w:val="24"/>
          <w:lang w:val="en-US"/>
        </w:rPr>
        <w:t xml:space="preserve">pod-transmitted viral infection </w:t>
      </w:r>
      <w:r w:rsidRPr="000E4528">
        <w:rPr>
          <w:rFonts w:ascii="Arial" w:hAnsi="Arial" w:cs="Arial"/>
          <w:sz w:val="24"/>
          <w:szCs w:val="24"/>
          <w:lang w:val="en-US"/>
        </w:rPr>
        <w:t>affecting</w:t>
      </w:r>
      <w:r w:rsidRPr="00DC5696">
        <w:rPr>
          <w:rFonts w:ascii="Arial" w:hAnsi="Arial" w:cs="Arial"/>
          <w:sz w:val="24"/>
          <w:szCs w:val="24"/>
          <w:lang w:val="en-US"/>
        </w:rPr>
        <w:t xml:space="preserve"> humans. Dengue virus (DENV) infection can be asymptomatic or </w:t>
      </w:r>
      <w:r w:rsidRPr="000E4528">
        <w:rPr>
          <w:rFonts w:ascii="Arial" w:hAnsi="Arial" w:cs="Arial"/>
          <w:sz w:val="24"/>
          <w:szCs w:val="24"/>
          <w:lang w:val="en-US"/>
        </w:rPr>
        <w:t>can</w:t>
      </w:r>
      <w:r>
        <w:rPr>
          <w:rFonts w:ascii="Arial" w:hAnsi="Arial" w:cs="Arial"/>
          <w:sz w:val="24"/>
          <w:szCs w:val="24"/>
          <w:lang w:val="en-US"/>
        </w:rPr>
        <w:t xml:space="preserve"> present </w:t>
      </w:r>
      <w:r w:rsidRPr="00DC5696">
        <w:rPr>
          <w:rFonts w:ascii="Arial" w:hAnsi="Arial" w:cs="Arial"/>
          <w:sz w:val="24"/>
          <w:szCs w:val="24"/>
          <w:lang w:val="en-US"/>
        </w:rPr>
        <w:t>a r</w:t>
      </w:r>
      <w:r>
        <w:rPr>
          <w:rFonts w:ascii="Arial" w:hAnsi="Arial" w:cs="Arial"/>
          <w:sz w:val="24"/>
          <w:szCs w:val="24"/>
          <w:lang w:val="en-US"/>
        </w:rPr>
        <w:t>ange of clinical manifestations</w:t>
      </w:r>
      <w:r w:rsidRPr="00DC5696">
        <w:rPr>
          <w:rFonts w:ascii="Arial" w:hAnsi="Arial" w:cs="Arial"/>
          <w:sz w:val="24"/>
          <w:szCs w:val="24"/>
          <w:lang w:val="en-US"/>
        </w:rPr>
        <w:t xml:space="preserve"> from a disease with symptoms known as dengue fever with or without alarm </w:t>
      </w:r>
      <w:r w:rsidRPr="000E4528">
        <w:rPr>
          <w:rFonts w:ascii="Arial" w:hAnsi="Arial" w:cs="Arial"/>
          <w:sz w:val="24"/>
          <w:szCs w:val="24"/>
          <w:lang w:val="en-US"/>
        </w:rPr>
        <w:t>signals</w:t>
      </w:r>
      <w:r w:rsidRPr="00DC5696">
        <w:rPr>
          <w:rFonts w:ascii="Arial" w:hAnsi="Arial" w:cs="Arial"/>
          <w:sz w:val="24"/>
          <w:szCs w:val="24"/>
          <w:lang w:val="en-US"/>
        </w:rPr>
        <w:t>, to severe and fatal forms of the disease known as severe dengue. The pathogenesis of severe dengue is associated, among other events, with an excessive immune response characterized by overproduction of cytokines and other inflammatory mediators. Because of these disease characteristics, vitamin D (</w:t>
      </w:r>
      <w:proofErr w:type="spellStart"/>
      <w:r w:rsidRPr="00DC5696">
        <w:rPr>
          <w:rFonts w:ascii="Arial" w:hAnsi="Arial" w:cs="Arial"/>
          <w:sz w:val="24"/>
          <w:szCs w:val="24"/>
          <w:lang w:val="en-US"/>
        </w:rPr>
        <w:t>VitD</w:t>
      </w:r>
      <w:proofErr w:type="spellEnd"/>
      <w:r w:rsidRPr="00DC5696">
        <w:rPr>
          <w:rFonts w:ascii="Arial" w:hAnsi="Arial" w:cs="Arial"/>
          <w:sz w:val="24"/>
          <w:szCs w:val="24"/>
          <w:lang w:val="en-US"/>
        </w:rPr>
        <w:t xml:space="preserve">) may play a very important role </w:t>
      </w:r>
      <w:r>
        <w:rPr>
          <w:rFonts w:ascii="Arial" w:hAnsi="Arial" w:cs="Arial"/>
          <w:sz w:val="24"/>
          <w:szCs w:val="24"/>
          <w:lang w:val="en-US"/>
        </w:rPr>
        <w:t>in DENV infection, because,</w:t>
      </w:r>
      <w:r w:rsidRPr="00DC5696">
        <w:rPr>
          <w:rFonts w:ascii="Arial" w:hAnsi="Arial" w:cs="Arial"/>
          <w:sz w:val="24"/>
          <w:szCs w:val="24"/>
          <w:lang w:val="en-US"/>
        </w:rPr>
        <w:t xml:space="preserve"> reports suggest a possible effect of this vitamin on viral infections and the modulation of the inflammatory response produced by these infections. However, few studies have evaluated the effect of </w:t>
      </w:r>
      <w:proofErr w:type="spellStart"/>
      <w:r w:rsidRPr="00DC5696">
        <w:rPr>
          <w:rFonts w:ascii="Arial" w:hAnsi="Arial" w:cs="Arial"/>
          <w:sz w:val="24"/>
          <w:szCs w:val="24"/>
          <w:lang w:val="en-US"/>
        </w:rPr>
        <w:t>VitD</w:t>
      </w:r>
      <w:proofErr w:type="spellEnd"/>
      <w:r w:rsidRPr="00DC5696">
        <w:rPr>
          <w:rFonts w:ascii="Arial" w:hAnsi="Arial" w:cs="Arial"/>
          <w:sz w:val="24"/>
          <w:szCs w:val="24"/>
          <w:lang w:val="en-US"/>
        </w:rPr>
        <w:t xml:space="preserve"> on DENV infection and the regulation of the inflammatory response induced by the virus in dendritic cells (DC), one of the major target cells of DENV infection</w:t>
      </w:r>
      <w:r>
        <w:rPr>
          <w:rFonts w:ascii="Arial" w:hAnsi="Arial" w:cs="Arial"/>
          <w:sz w:val="24"/>
          <w:szCs w:val="24"/>
          <w:lang w:val="en-US"/>
        </w:rPr>
        <w:t xml:space="preserve">. </w:t>
      </w:r>
      <w:r w:rsidRPr="00DC5696">
        <w:rPr>
          <w:rFonts w:ascii="Arial" w:hAnsi="Arial" w:cs="Arial"/>
          <w:sz w:val="24"/>
          <w:szCs w:val="24"/>
          <w:lang w:val="en-US"/>
        </w:rPr>
        <w:t xml:space="preserve">This study evaluated the role of </w:t>
      </w:r>
      <w:proofErr w:type="spellStart"/>
      <w:r w:rsidRPr="00DC5696">
        <w:rPr>
          <w:rFonts w:ascii="Arial" w:hAnsi="Arial" w:cs="Arial"/>
          <w:sz w:val="24"/>
          <w:szCs w:val="24"/>
          <w:lang w:val="en-US"/>
        </w:rPr>
        <w:t>VitD</w:t>
      </w:r>
      <w:proofErr w:type="spellEnd"/>
      <w:r w:rsidRPr="00DC5696">
        <w:rPr>
          <w:rFonts w:ascii="Arial" w:hAnsi="Arial" w:cs="Arial"/>
          <w:sz w:val="24"/>
          <w:szCs w:val="24"/>
          <w:lang w:val="en-US"/>
        </w:rPr>
        <w:t xml:space="preserve"> in DENV-2 infection/replication</w:t>
      </w:r>
      <w:r w:rsidRPr="00622917">
        <w:rPr>
          <w:rFonts w:ascii="Arial" w:hAnsi="Arial" w:cs="Arial"/>
          <w:sz w:val="24"/>
          <w:szCs w:val="24"/>
          <w:lang w:val="en-US"/>
        </w:rPr>
        <w:t xml:space="preserve"> </w:t>
      </w:r>
      <w:r w:rsidRPr="00DC5696">
        <w:rPr>
          <w:rFonts w:ascii="Arial" w:hAnsi="Arial" w:cs="Arial"/>
          <w:sz w:val="24"/>
          <w:szCs w:val="24"/>
          <w:lang w:val="en-US"/>
        </w:rPr>
        <w:t>and the expression of Toll-like receptors (TLRs)</w:t>
      </w:r>
      <w:r>
        <w:rPr>
          <w:rFonts w:ascii="Arial" w:hAnsi="Arial" w:cs="Arial"/>
          <w:sz w:val="24"/>
          <w:szCs w:val="24"/>
          <w:lang w:val="en-US"/>
        </w:rPr>
        <w:t xml:space="preserve"> and</w:t>
      </w:r>
      <w:r w:rsidRPr="00DC5696">
        <w:rPr>
          <w:rFonts w:ascii="Arial" w:hAnsi="Arial" w:cs="Arial"/>
          <w:sz w:val="24"/>
          <w:szCs w:val="24"/>
          <w:lang w:val="en-US"/>
        </w:rPr>
        <w:t xml:space="preserve"> pro-and anti-inflammatory cytokines in monocyte-derived DCs </w:t>
      </w:r>
      <w:r w:rsidRPr="00A354E5">
        <w:rPr>
          <w:rFonts w:ascii="Arial" w:hAnsi="Arial" w:cs="Arial"/>
          <w:sz w:val="24"/>
          <w:szCs w:val="24"/>
          <w:lang w:val="en-US"/>
        </w:rPr>
        <w:t>(MDDCs)</w:t>
      </w:r>
      <w:r w:rsidRPr="00DC5696">
        <w:rPr>
          <w:rFonts w:ascii="Arial" w:hAnsi="Arial" w:cs="Arial"/>
          <w:sz w:val="24"/>
          <w:szCs w:val="24"/>
          <w:lang w:val="en-US"/>
        </w:rPr>
        <w:t xml:space="preserve">, which obtained </w:t>
      </w:r>
      <w:r w:rsidRPr="00A354E5">
        <w:rPr>
          <w:rFonts w:ascii="Arial" w:hAnsi="Arial" w:cs="Arial"/>
          <w:sz w:val="24"/>
          <w:szCs w:val="24"/>
          <w:lang w:val="en-US"/>
        </w:rPr>
        <w:t>from</w:t>
      </w:r>
      <w:r>
        <w:rPr>
          <w:rFonts w:ascii="Arial" w:hAnsi="Arial" w:cs="Arial"/>
          <w:sz w:val="24"/>
          <w:szCs w:val="24"/>
          <w:lang w:val="en-US"/>
        </w:rPr>
        <w:t xml:space="preserve"> </w:t>
      </w:r>
      <w:r w:rsidRPr="00DC5696">
        <w:rPr>
          <w:rFonts w:ascii="Arial" w:hAnsi="Arial" w:cs="Arial"/>
          <w:sz w:val="24"/>
          <w:szCs w:val="24"/>
          <w:lang w:val="en-US"/>
        </w:rPr>
        <w:t xml:space="preserve">individuals who received a </w:t>
      </w:r>
      <w:proofErr w:type="spellStart"/>
      <w:r w:rsidRPr="00DC5696">
        <w:rPr>
          <w:rFonts w:ascii="Arial" w:hAnsi="Arial" w:cs="Arial"/>
          <w:sz w:val="24"/>
          <w:szCs w:val="24"/>
          <w:lang w:val="en-US"/>
        </w:rPr>
        <w:t>VitD</w:t>
      </w:r>
      <w:proofErr w:type="spellEnd"/>
      <w:r w:rsidRPr="00DC5696">
        <w:rPr>
          <w:rFonts w:ascii="Arial" w:hAnsi="Arial" w:cs="Arial"/>
          <w:sz w:val="24"/>
          <w:szCs w:val="24"/>
          <w:lang w:val="en-US"/>
        </w:rPr>
        <w:t xml:space="preserve"> supplement for 10 days. The main findings show that individuals who received a high dose of </w:t>
      </w:r>
      <w:r w:rsidRPr="00A354E5">
        <w:rPr>
          <w:rFonts w:ascii="Arial" w:hAnsi="Arial" w:cs="Arial"/>
          <w:sz w:val="24"/>
          <w:szCs w:val="24"/>
          <w:lang w:val="en-US"/>
        </w:rPr>
        <w:t xml:space="preserve">supplementary </w:t>
      </w:r>
      <w:proofErr w:type="spellStart"/>
      <w:r w:rsidRPr="00A354E5">
        <w:rPr>
          <w:rFonts w:ascii="Arial" w:hAnsi="Arial" w:cs="Arial"/>
          <w:sz w:val="24"/>
          <w:szCs w:val="24"/>
          <w:lang w:val="en-US"/>
        </w:rPr>
        <w:t>VitD</w:t>
      </w:r>
      <w:proofErr w:type="spellEnd"/>
      <w:r>
        <w:rPr>
          <w:rFonts w:ascii="Arial" w:hAnsi="Arial" w:cs="Arial"/>
          <w:sz w:val="24"/>
          <w:szCs w:val="24"/>
          <w:lang w:val="en-US"/>
        </w:rPr>
        <w:t xml:space="preserve"> </w:t>
      </w:r>
      <w:r w:rsidRPr="00DC5696">
        <w:rPr>
          <w:rFonts w:ascii="Arial" w:hAnsi="Arial" w:cs="Arial"/>
          <w:sz w:val="24"/>
          <w:szCs w:val="24"/>
          <w:lang w:val="en-US"/>
        </w:rPr>
        <w:t xml:space="preserve">are less susceptible to DENV-2 infection (p = 0.0372). There was also a decrease in the expression of TLR3 (p = 0.0147), </w:t>
      </w:r>
      <w:r>
        <w:rPr>
          <w:rFonts w:ascii="Arial" w:hAnsi="Arial" w:cs="Arial"/>
          <w:sz w:val="24"/>
          <w:szCs w:val="24"/>
          <w:lang w:val="en-US"/>
        </w:rPr>
        <w:t>TLR</w:t>
      </w:r>
      <w:r w:rsidRPr="00DC5696">
        <w:rPr>
          <w:rFonts w:ascii="Arial" w:hAnsi="Arial" w:cs="Arial"/>
          <w:sz w:val="24"/>
          <w:szCs w:val="24"/>
          <w:lang w:val="en-US"/>
        </w:rPr>
        <w:t xml:space="preserve">7 (p = 0.0020) and </w:t>
      </w:r>
      <w:r>
        <w:rPr>
          <w:rFonts w:ascii="Arial" w:hAnsi="Arial" w:cs="Arial"/>
          <w:sz w:val="24"/>
          <w:szCs w:val="24"/>
          <w:lang w:val="en-US"/>
        </w:rPr>
        <w:t>TLR</w:t>
      </w:r>
      <w:r w:rsidRPr="00DC5696">
        <w:rPr>
          <w:rFonts w:ascii="Arial" w:hAnsi="Arial" w:cs="Arial"/>
          <w:sz w:val="24"/>
          <w:szCs w:val="24"/>
          <w:lang w:val="en-US"/>
        </w:rPr>
        <w:t>9 (p = 0.0137) in DEN</w:t>
      </w:r>
      <w:r>
        <w:rPr>
          <w:rFonts w:ascii="Arial" w:hAnsi="Arial" w:cs="Arial"/>
          <w:sz w:val="24"/>
          <w:szCs w:val="24"/>
          <w:lang w:val="en-US"/>
        </w:rPr>
        <w:t>V-</w:t>
      </w:r>
      <w:r w:rsidRPr="00622917">
        <w:rPr>
          <w:rFonts w:ascii="Arial" w:hAnsi="Arial" w:cs="Arial"/>
          <w:sz w:val="24"/>
          <w:szCs w:val="24"/>
          <w:lang w:val="en-US"/>
        </w:rPr>
        <w:t>2-</w:t>
      </w:r>
      <w:r w:rsidRPr="00DC5696">
        <w:rPr>
          <w:rFonts w:ascii="Arial" w:hAnsi="Arial" w:cs="Arial"/>
          <w:sz w:val="24"/>
          <w:szCs w:val="24"/>
          <w:lang w:val="en-US"/>
        </w:rPr>
        <w:t xml:space="preserve">infected MDDCs. Finally, </w:t>
      </w:r>
      <w:r>
        <w:rPr>
          <w:rFonts w:ascii="Arial" w:hAnsi="Arial" w:cs="Arial"/>
          <w:sz w:val="24"/>
          <w:szCs w:val="24"/>
          <w:lang w:val="en-US"/>
        </w:rPr>
        <w:t xml:space="preserve">we </w:t>
      </w:r>
      <w:r w:rsidRPr="00A354E5">
        <w:rPr>
          <w:rFonts w:ascii="Arial" w:hAnsi="Arial" w:cs="Arial"/>
          <w:sz w:val="24"/>
          <w:szCs w:val="24"/>
          <w:lang w:val="en-US"/>
        </w:rPr>
        <w:t>observed</w:t>
      </w:r>
      <w:r>
        <w:rPr>
          <w:rFonts w:ascii="Arial" w:hAnsi="Arial" w:cs="Arial"/>
          <w:sz w:val="24"/>
          <w:szCs w:val="24"/>
          <w:lang w:val="en-US"/>
        </w:rPr>
        <w:t xml:space="preserve"> </w:t>
      </w:r>
      <w:r w:rsidRPr="00DC5696">
        <w:rPr>
          <w:rFonts w:ascii="Arial" w:hAnsi="Arial" w:cs="Arial"/>
          <w:sz w:val="24"/>
          <w:szCs w:val="24"/>
          <w:lang w:val="en-US"/>
        </w:rPr>
        <w:t xml:space="preserve">a modulation in the production of </w:t>
      </w:r>
      <w:r>
        <w:rPr>
          <w:rFonts w:ascii="Arial" w:hAnsi="Arial" w:cs="Arial"/>
          <w:sz w:val="24"/>
          <w:szCs w:val="24"/>
          <w:lang w:val="en-US"/>
        </w:rPr>
        <w:t>IL-12, IL-8 and IL-10</w:t>
      </w:r>
      <w:r w:rsidRPr="00DC5696">
        <w:rPr>
          <w:rFonts w:ascii="Arial" w:hAnsi="Arial" w:cs="Arial"/>
          <w:sz w:val="24"/>
          <w:szCs w:val="24"/>
          <w:lang w:val="en-US"/>
        </w:rPr>
        <w:t xml:space="preserve"> in </w:t>
      </w:r>
      <w:r w:rsidRPr="00A354E5">
        <w:rPr>
          <w:rFonts w:ascii="Arial" w:hAnsi="Arial" w:cs="Arial"/>
          <w:sz w:val="24"/>
          <w:szCs w:val="24"/>
          <w:lang w:val="en-US"/>
        </w:rPr>
        <w:t>MDDCs</w:t>
      </w:r>
      <w:r w:rsidRPr="00622917">
        <w:rPr>
          <w:rFonts w:ascii="Arial" w:hAnsi="Arial" w:cs="Arial"/>
          <w:sz w:val="24"/>
          <w:szCs w:val="24"/>
          <w:lang w:val="en-US"/>
        </w:rPr>
        <w:t xml:space="preserve"> </w:t>
      </w:r>
      <w:r w:rsidRPr="00DC5696">
        <w:rPr>
          <w:rFonts w:ascii="Arial" w:hAnsi="Arial" w:cs="Arial"/>
          <w:sz w:val="24"/>
          <w:szCs w:val="24"/>
          <w:lang w:val="en-US"/>
        </w:rPr>
        <w:t xml:space="preserve">infected. In conclusion, the results suggest that </w:t>
      </w:r>
      <w:proofErr w:type="spellStart"/>
      <w:r w:rsidRPr="00DC5696">
        <w:rPr>
          <w:rFonts w:ascii="Arial" w:hAnsi="Arial" w:cs="Arial"/>
          <w:sz w:val="24"/>
          <w:szCs w:val="24"/>
          <w:lang w:val="en-US"/>
        </w:rPr>
        <w:t>VitD</w:t>
      </w:r>
      <w:proofErr w:type="spellEnd"/>
      <w:r w:rsidRPr="00DC5696">
        <w:rPr>
          <w:rFonts w:ascii="Arial" w:hAnsi="Arial" w:cs="Arial"/>
          <w:sz w:val="24"/>
          <w:szCs w:val="24"/>
          <w:lang w:val="en-US"/>
        </w:rPr>
        <w:t xml:space="preserve"> supplementation negatively </w:t>
      </w:r>
      <w:r>
        <w:rPr>
          <w:rFonts w:ascii="Arial" w:hAnsi="Arial" w:cs="Arial"/>
          <w:sz w:val="24"/>
          <w:szCs w:val="24"/>
          <w:lang w:val="en-US"/>
        </w:rPr>
        <w:t>affect</w:t>
      </w:r>
      <w:r>
        <w:rPr>
          <w:rFonts w:ascii="Arial" w:hAnsi="Arial" w:cs="Arial"/>
          <w:sz w:val="24"/>
          <w:szCs w:val="24"/>
          <w:lang w:val="en-US"/>
        </w:rPr>
        <w:t xml:space="preserve"> </w:t>
      </w:r>
      <w:r w:rsidRPr="00DC5696">
        <w:rPr>
          <w:rFonts w:ascii="Arial" w:hAnsi="Arial" w:cs="Arial"/>
          <w:sz w:val="24"/>
          <w:szCs w:val="24"/>
          <w:lang w:val="en-US"/>
        </w:rPr>
        <w:t>DENV infection and</w:t>
      </w:r>
      <w:r>
        <w:rPr>
          <w:rFonts w:ascii="Arial" w:hAnsi="Arial" w:cs="Arial"/>
          <w:sz w:val="24"/>
          <w:szCs w:val="24"/>
          <w:lang w:val="en-US"/>
        </w:rPr>
        <w:t xml:space="preserve"> modulates </w:t>
      </w:r>
      <w:r w:rsidRPr="00DC5696">
        <w:rPr>
          <w:rFonts w:ascii="Arial" w:hAnsi="Arial" w:cs="Arial"/>
          <w:sz w:val="24"/>
          <w:szCs w:val="24"/>
          <w:lang w:val="en-US"/>
        </w:rPr>
        <w:t xml:space="preserve">pro-inflammatory </w:t>
      </w:r>
      <w:r w:rsidRPr="0071418E">
        <w:rPr>
          <w:rFonts w:ascii="Arial" w:hAnsi="Arial" w:cs="Arial"/>
          <w:sz w:val="24"/>
          <w:szCs w:val="24"/>
          <w:lang w:val="en-US"/>
        </w:rPr>
        <w:t>cytokine</w:t>
      </w:r>
      <w:r w:rsidRPr="00DC5696">
        <w:rPr>
          <w:rFonts w:ascii="Arial" w:hAnsi="Arial" w:cs="Arial"/>
          <w:sz w:val="24"/>
          <w:szCs w:val="24"/>
          <w:lang w:val="en-US"/>
        </w:rPr>
        <w:t xml:space="preserve"> secretion induced by</w:t>
      </w:r>
      <w:r w:rsidR="00BE171C">
        <w:rPr>
          <w:rFonts w:ascii="Arial" w:hAnsi="Arial" w:cs="Arial"/>
          <w:sz w:val="24"/>
          <w:szCs w:val="24"/>
          <w:lang w:val="en-US"/>
        </w:rPr>
        <w:t xml:space="preserve"> viral</w:t>
      </w:r>
      <w:bookmarkStart w:id="0" w:name="_GoBack"/>
      <w:bookmarkEnd w:id="0"/>
      <w:r w:rsidRPr="00DC5696">
        <w:rPr>
          <w:rFonts w:ascii="Arial" w:hAnsi="Arial" w:cs="Arial"/>
          <w:sz w:val="24"/>
          <w:szCs w:val="24"/>
          <w:lang w:val="en-US"/>
        </w:rPr>
        <w:t xml:space="preserve"> infection in MDDC</w:t>
      </w:r>
      <w:r>
        <w:rPr>
          <w:rFonts w:ascii="Arial" w:hAnsi="Arial" w:cs="Arial"/>
          <w:sz w:val="24"/>
          <w:szCs w:val="24"/>
          <w:lang w:val="en-US"/>
        </w:rPr>
        <w:t>s</w:t>
      </w:r>
      <w:r w:rsidRPr="00DC5696">
        <w:rPr>
          <w:rFonts w:ascii="Arial" w:hAnsi="Arial" w:cs="Arial"/>
          <w:sz w:val="24"/>
          <w:szCs w:val="24"/>
          <w:lang w:val="en-US"/>
        </w:rPr>
        <w:t xml:space="preserve">. However, new studies are needed to establish the role of </w:t>
      </w:r>
      <w:proofErr w:type="spellStart"/>
      <w:r w:rsidRPr="00DC5696">
        <w:rPr>
          <w:rFonts w:ascii="Arial" w:hAnsi="Arial" w:cs="Arial"/>
          <w:sz w:val="24"/>
          <w:szCs w:val="24"/>
          <w:lang w:val="en-US"/>
        </w:rPr>
        <w:t>VitD</w:t>
      </w:r>
      <w:proofErr w:type="spellEnd"/>
      <w:r w:rsidRPr="00DC5696">
        <w:rPr>
          <w:rFonts w:ascii="Arial" w:hAnsi="Arial" w:cs="Arial"/>
          <w:sz w:val="24"/>
          <w:szCs w:val="24"/>
          <w:lang w:val="en-US"/>
        </w:rPr>
        <w:t xml:space="preserve"> during infection by DENV and possibl</w:t>
      </w:r>
      <w:r>
        <w:rPr>
          <w:rFonts w:ascii="Arial" w:hAnsi="Arial" w:cs="Arial"/>
          <w:sz w:val="24"/>
          <w:szCs w:val="24"/>
          <w:lang w:val="en-US"/>
        </w:rPr>
        <w:t xml:space="preserve">e antiviral mechanisms of </w:t>
      </w:r>
      <w:proofErr w:type="spellStart"/>
      <w:r>
        <w:rPr>
          <w:rFonts w:ascii="Arial" w:hAnsi="Arial" w:cs="Arial"/>
          <w:sz w:val="24"/>
          <w:szCs w:val="24"/>
          <w:lang w:val="en-US"/>
        </w:rPr>
        <w:t>VitD</w:t>
      </w:r>
      <w:proofErr w:type="spellEnd"/>
      <w:r>
        <w:rPr>
          <w:rFonts w:ascii="Arial" w:hAnsi="Arial" w:cs="Arial"/>
          <w:sz w:val="24"/>
          <w:szCs w:val="24"/>
          <w:lang w:val="en-US"/>
        </w:rPr>
        <w:t xml:space="preserve">. </w:t>
      </w:r>
      <w:r w:rsidRPr="0071418E">
        <w:rPr>
          <w:rFonts w:ascii="Arial" w:hAnsi="Arial" w:cs="Arial"/>
          <w:sz w:val="24"/>
          <w:szCs w:val="24"/>
          <w:lang w:val="en-US"/>
        </w:rPr>
        <w:t>Consequently, it will be possible to consider</w:t>
      </w:r>
      <w:r>
        <w:rPr>
          <w:rFonts w:ascii="Arial" w:hAnsi="Arial" w:cs="Arial"/>
          <w:sz w:val="24"/>
          <w:szCs w:val="24"/>
          <w:lang w:val="en-US"/>
        </w:rPr>
        <w:t xml:space="preserve"> </w:t>
      </w:r>
      <w:r w:rsidRPr="00DC5696">
        <w:rPr>
          <w:rFonts w:ascii="Arial" w:hAnsi="Arial" w:cs="Arial"/>
          <w:sz w:val="24"/>
          <w:szCs w:val="24"/>
          <w:lang w:val="en-US"/>
        </w:rPr>
        <w:t>the convenience of a therap</w:t>
      </w:r>
      <w:r>
        <w:rPr>
          <w:rFonts w:ascii="Arial" w:hAnsi="Arial" w:cs="Arial"/>
          <w:sz w:val="24"/>
          <w:szCs w:val="24"/>
          <w:lang w:val="en-US"/>
        </w:rPr>
        <w:t xml:space="preserve">y based on </w:t>
      </w:r>
      <w:proofErr w:type="spellStart"/>
      <w:r>
        <w:rPr>
          <w:rFonts w:ascii="Arial" w:hAnsi="Arial" w:cs="Arial"/>
          <w:sz w:val="24"/>
          <w:szCs w:val="24"/>
          <w:lang w:val="en-US"/>
        </w:rPr>
        <w:t>VitD</w:t>
      </w:r>
      <w:proofErr w:type="spellEnd"/>
      <w:r>
        <w:rPr>
          <w:rFonts w:ascii="Arial" w:hAnsi="Arial" w:cs="Arial"/>
          <w:sz w:val="24"/>
          <w:szCs w:val="24"/>
          <w:lang w:val="en-US"/>
        </w:rPr>
        <w:t xml:space="preserve"> supplementation.</w:t>
      </w:r>
    </w:p>
    <w:p w:rsidR="00026373" w:rsidRPr="00622917" w:rsidRDefault="00BE171C">
      <w:pPr>
        <w:rPr>
          <w:lang w:val="en-US"/>
        </w:rPr>
      </w:pPr>
    </w:p>
    <w:sectPr w:rsidR="00026373" w:rsidRPr="0062291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2917"/>
    <w:rsid w:val="001700CF"/>
    <w:rsid w:val="00251668"/>
    <w:rsid w:val="00285B0C"/>
    <w:rsid w:val="00622917"/>
    <w:rsid w:val="009E4E01"/>
    <w:rsid w:val="00B04C42"/>
    <w:rsid w:val="00BE171C"/>
    <w:rsid w:val="00DB4DD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917"/>
    <w:pPr>
      <w:spacing w:after="160" w:line="259" w:lineRule="auto"/>
    </w:pPr>
    <w:rPr>
      <w:rFonts w:eastAsiaTheme="minorEastAsi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917"/>
    <w:pPr>
      <w:spacing w:after="160" w:line="259" w:lineRule="auto"/>
    </w:pPr>
    <w:rPr>
      <w:rFonts w:eastAsiaTheme="minorEastAsi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370</Words>
  <Characters>2039</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Silvio Urcuqui Chima</dc:creator>
  <cp:lastModifiedBy>Silvio Urcuqui Chima</cp:lastModifiedBy>
  <cp:revision>3</cp:revision>
  <dcterms:created xsi:type="dcterms:W3CDTF">2017-05-26T13:54:00Z</dcterms:created>
  <dcterms:modified xsi:type="dcterms:W3CDTF">2017-05-26T14:04:00Z</dcterms:modified>
</cp:coreProperties>
</file>