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002938" w14:textId="1610E4EE" w:rsidR="001B2007" w:rsidRPr="00056BA7" w:rsidRDefault="001D0AB0" w:rsidP="00523D8C">
      <w:pPr>
        <w:spacing w:line="240" w:lineRule="auto"/>
        <w:rPr>
          <w:b/>
          <w:bCs/>
        </w:rPr>
      </w:pPr>
      <w:proofErr w:type="spellStart"/>
      <w:r w:rsidRPr="00056BA7">
        <w:rPr>
          <w:b/>
          <w:bCs/>
        </w:rPr>
        <w:t>Upamostat</w:t>
      </w:r>
      <w:proofErr w:type="spellEnd"/>
      <w:r w:rsidRPr="00056BA7">
        <w:rPr>
          <w:b/>
          <w:bCs/>
        </w:rPr>
        <w:t xml:space="preserve">, a Serine Protease Inhibitor, for Outpatient Treatment of COVID-19:  a </w:t>
      </w:r>
      <w:r w:rsidR="006A20B6">
        <w:rPr>
          <w:b/>
          <w:bCs/>
        </w:rPr>
        <w:t xml:space="preserve">Placebo-controlled, Randomized </w:t>
      </w:r>
      <w:r w:rsidRPr="00056BA7">
        <w:rPr>
          <w:b/>
          <w:bCs/>
        </w:rPr>
        <w:t>Pilot Study</w:t>
      </w:r>
    </w:p>
    <w:p w14:paraId="36320DF3" w14:textId="293ED70B" w:rsidR="001D0AB0" w:rsidRDefault="001D0AB0" w:rsidP="00523D8C">
      <w:pPr>
        <w:spacing w:line="240" w:lineRule="auto"/>
      </w:pPr>
      <w:r>
        <w:t>Authors:  Terry Plasse, MD</w:t>
      </w:r>
      <w:r w:rsidRPr="001D0AB0">
        <w:rPr>
          <w:vertAlign w:val="superscript"/>
        </w:rPr>
        <w:t>1</w:t>
      </w:r>
      <w:r>
        <w:t xml:space="preserve"> (presenter); Belkis Delgado, MD</w:t>
      </w:r>
      <w:r w:rsidR="00FA0AA3" w:rsidRPr="00FA0AA3">
        <w:rPr>
          <w:vertAlign w:val="superscript"/>
        </w:rPr>
        <w:t>2</w:t>
      </w:r>
      <w:r>
        <w:t>; Jeffrey Potts, MD</w:t>
      </w:r>
      <w:proofErr w:type="gramStart"/>
      <w:r w:rsidR="00FA0AA3" w:rsidRPr="00FA0AA3">
        <w:rPr>
          <w:vertAlign w:val="superscript"/>
        </w:rPr>
        <w:t>3</w:t>
      </w:r>
      <w:r>
        <w:t xml:space="preserve">;  </w:t>
      </w:r>
      <w:r w:rsidR="00B20A6F">
        <w:t>Danielle</w:t>
      </w:r>
      <w:proofErr w:type="gramEnd"/>
      <w:r w:rsidR="00B20A6F">
        <w:t xml:space="preserve"> Abramson, PhD</w:t>
      </w:r>
      <w:r w:rsidR="00B20A6F" w:rsidRPr="001D0AB0">
        <w:rPr>
          <w:vertAlign w:val="superscript"/>
        </w:rPr>
        <w:t>1</w:t>
      </w:r>
      <w:r w:rsidR="00B20A6F">
        <w:t>; Clara Fehrmann</w:t>
      </w:r>
      <w:r w:rsidR="00B20A6F" w:rsidRPr="001D0AB0">
        <w:rPr>
          <w:vertAlign w:val="superscript"/>
        </w:rPr>
        <w:t>1</w:t>
      </w:r>
      <w:r w:rsidR="00B20A6F">
        <w:t xml:space="preserve">; </w:t>
      </w:r>
      <w:r>
        <w:t>Grace McComsey, MD</w:t>
      </w:r>
      <w:r w:rsidR="00FA0AA3" w:rsidRPr="00FA0AA3">
        <w:rPr>
          <w:vertAlign w:val="superscript"/>
        </w:rPr>
        <w:t>4</w:t>
      </w:r>
      <w:r>
        <w:t xml:space="preserve"> </w:t>
      </w:r>
    </w:p>
    <w:p w14:paraId="03CB5A68" w14:textId="2B748C9E" w:rsidR="001D0AB0" w:rsidRDefault="001D0AB0" w:rsidP="00523D8C">
      <w:pPr>
        <w:spacing w:line="240" w:lineRule="auto"/>
      </w:pPr>
      <w:r>
        <w:t xml:space="preserve">Affiliations:  1:  </w:t>
      </w:r>
      <w:proofErr w:type="spellStart"/>
      <w:r>
        <w:t>RedHill</w:t>
      </w:r>
      <w:proofErr w:type="spellEnd"/>
      <w:r>
        <w:t xml:space="preserve"> Bio</w:t>
      </w:r>
      <w:r w:rsidR="00D719BB">
        <w:t>pharma</w:t>
      </w:r>
      <w:r>
        <w:t xml:space="preserve">, Ltd, Tel Aviv, </w:t>
      </w:r>
      <w:proofErr w:type="gramStart"/>
      <w:r>
        <w:t>Israel;  2</w:t>
      </w:r>
      <w:proofErr w:type="gramEnd"/>
      <w:r>
        <w:t xml:space="preserve">:  </w:t>
      </w:r>
      <w:r w:rsidR="00FA0AA3">
        <w:t>South Florida Research, Miami FL, USA; 3:  Great Lakes Research Group, Bay City, MI, USA;  4:  University Hospitals</w:t>
      </w:r>
      <w:r w:rsidR="006A20B6">
        <w:t xml:space="preserve"> of Cleveland and Case Western Reserve University</w:t>
      </w:r>
      <w:r w:rsidR="00FA0AA3">
        <w:t>, Cleveland OH, USA</w:t>
      </w:r>
    </w:p>
    <w:p w14:paraId="4D0BCB42" w14:textId="1E102BF1" w:rsidR="0061529E" w:rsidRDefault="0079527C" w:rsidP="00523D8C">
      <w:pPr>
        <w:spacing w:line="240" w:lineRule="auto"/>
      </w:pPr>
      <w:r>
        <w:t xml:space="preserve">SARS-CoV-2 requires processing by cell surface proteases to infect host cells. </w:t>
      </w:r>
      <w:proofErr w:type="spellStart"/>
      <w:r w:rsidR="0061529E">
        <w:t>Upamostat</w:t>
      </w:r>
      <w:proofErr w:type="spellEnd"/>
      <w:r w:rsidR="0061529E">
        <w:t xml:space="preserve"> is a serine protease inhibitor activ</w:t>
      </w:r>
      <w:r w:rsidR="00244CE2">
        <w:t>ated</w:t>
      </w:r>
      <w:r w:rsidR="0061529E">
        <w:t xml:space="preserve"> intracellularly.  It inhibits SARS-CoV-2 in</w:t>
      </w:r>
      <w:r w:rsidR="00245A67">
        <w:t xml:space="preserve"> </w:t>
      </w:r>
      <w:r w:rsidR="006E2219">
        <w:t>vitro</w:t>
      </w:r>
      <w:r w:rsidR="00245A67">
        <w:t>.  In preparation for a pivotal study, we performed a pilot study in outpatients with symptomatic COVID-19.</w:t>
      </w:r>
    </w:p>
    <w:p w14:paraId="5782D81B" w14:textId="31977857" w:rsidR="00E857F6" w:rsidRDefault="00E857F6" w:rsidP="00523D8C">
      <w:pPr>
        <w:spacing w:line="240" w:lineRule="auto"/>
      </w:pPr>
      <w:r w:rsidRPr="0028428C">
        <w:rPr>
          <w:b/>
          <w:bCs/>
        </w:rPr>
        <w:t>Methods:</w:t>
      </w:r>
      <w:r>
        <w:t xml:space="preserve">  </w:t>
      </w:r>
      <w:r w:rsidR="00097C68">
        <w:t xml:space="preserve">Virologically diagnosed </w:t>
      </w:r>
      <w:r>
        <w:t xml:space="preserve">SARS-CoV-2 </w:t>
      </w:r>
      <w:r w:rsidR="00097C68">
        <w:t xml:space="preserve">patients </w:t>
      </w:r>
      <w:r w:rsidR="00B6727D">
        <w:t xml:space="preserve">with </w:t>
      </w:r>
      <w:r w:rsidR="00B6727D">
        <w:rPr>
          <w:rFonts w:cs="Times New Roman"/>
        </w:rPr>
        <w:t>≥</w:t>
      </w:r>
      <w:r>
        <w:t>2 moderate to severe symptoms (</w:t>
      </w:r>
      <w:r w:rsidR="0079527C">
        <w:t xml:space="preserve">from </w:t>
      </w:r>
      <w:r>
        <w:t xml:space="preserve">a list of 17 common COVID-19 symptoms), onset </w:t>
      </w:r>
      <w:r>
        <w:rPr>
          <w:rFonts w:cs="Times New Roman"/>
        </w:rPr>
        <w:t>≤</w:t>
      </w:r>
      <w:r>
        <w:t xml:space="preserve">5 days prior to </w:t>
      </w:r>
      <w:r w:rsidR="006A20B6">
        <w:t xml:space="preserve">study enrollment </w:t>
      </w:r>
      <w:r>
        <w:t xml:space="preserve">were eligible.  Patients could be of any risk level, have received prior COVID-19 vaccination and receive anti-SARS-CoV-2 monoclonal antibody.  </w:t>
      </w:r>
      <w:r w:rsidR="00B6727D">
        <w:t xml:space="preserve">Patients were randomized to </w:t>
      </w:r>
      <w:r w:rsidR="006A20B6">
        <w:t xml:space="preserve">oral </w:t>
      </w:r>
      <w:proofErr w:type="spellStart"/>
      <w:r w:rsidR="00B6727D">
        <w:t>upamostat</w:t>
      </w:r>
      <w:proofErr w:type="spellEnd"/>
      <w:r w:rsidR="00B6727D">
        <w:t xml:space="preserve"> 200</w:t>
      </w:r>
      <w:r w:rsidR="00097C68">
        <w:t xml:space="preserve"> or </w:t>
      </w:r>
      <w:r w:rsidR="00B6727D">
        <w:t xml:space="preserve">400 </w:t>
      </w:r>
      <w:r w:rsidR="00097C68">
        <w:t xml:space="preserve">mg </w:t>
      </w:r>
      <w:r w:rsidR="00B6727D">
        <w:t xml:space="preserve">or matching placebo daily </w:t>
      </w:r>
      <w:r w:rsidR="0069584F">
        <w:t>x</w:t>
      </w:r>
      <w:r w:rsidR="00B6727D">
        <w:t xml:space="preserve">14 and followed for an additional 6 weeks.  Patients completed a COVID-19 symptom questionnaire daily </w:t>
      </w:r>
      <w:r w:rsidR="00713C8E">
        <w:t>x</w:t>
      </w:r>
      <w:r w:rsidR="00B6727D">
        <w:t xml:space="preserve">28 then thrice weekly </w:t>
      </w:r>
      <w:r w:rsidR="00713C8E">
        <w:t>x</w:t>
      </w:r>
      <w:r w:rsidR="00B6727D">
        <w:t xml:space="preserve">4 weeks, </w:t>
      </w:r>
      <w:r w:rsidR="00713C8E">
        <w:t xml:space="preserve">measured </w:t>
      </w:r>
      <w:proofErr w:type="gramStart"/>
      <w:r w:rsidR="00B6727D">
        <w:t>temperatures</w:t>
      </w:r>
      <w:proofErr w:type="gramEnd"/>
      <w:r w:rsidR="00B6727D">
        <w:t xml:space="preserve"> and oxygen saturation </w:t>
      </w:r>
      <w:r w:rsidR="006A20B6">
        <w:t>with study-provided equipment</w:t>
      </w:r>
      <w:r w:rsidR="00B6727D">
        <w:t>, and were examined</w:t>
      </w:r>
      <w:r w:rsidR="006A20B6">
        <w:t xml:space="preserve"> with </w:t>
      </w:r>
      <w:r w:rsidR="00B6727D">
        <w:t xml:space="preserve">nasal swabbing for virology, and </w:t>
      </w:r>
      <w:r w:rsidR="0069584F">
        <w:t xml:space="preserve">safety and disease marker </w:t>
      </w:r>
      <w:r w:rsidR="00B6727D">
        <w:t xml:space="preserve">blood </w:t>
      </w:r>
      <w:r w:rsidR="006A20B6">
        <w:t xml:space="preserve">sampling </w:t>
      </w:r>
      <w:r w:rsidR="00B6727D">
        <w:t>periodically throughout study.</w:t>
      </w:r>
    </w:p>
    <w:p w14:paraId="6C20DC74" w14:textId="4EE10ED9" w:rsidR="00E857F6" w:rsidRDefault="00E857F6" w:rsidP="00523D8C">
      <w:pPr>
        <w:spacing w:line="240" w:lineRule="auto"/>
      </w:pPr>
      <w:r w:rsidRPr="0028428C">
        <w:rPr>
          <w:b/>
          <w:bCs/>
        </w:rPr>
        <w:t>Results:</w:t>
      </w:r>
      <w:r w:rsidR="00B6727D">
        <w:t xml:space="preserve">   61 patients were entered:  20 each received placebo or </w:t>
      </w:r>
      <w:proofErr w:type="spellStart"/>
      <w:r w:rsidR="00B6727D">
        <w:t>upamostat</w:t>
      </w:r>
      <w:proofErr w:type="spellEnd"/>
      <w:r w:rsidR="00B6727D">
        <w:t xml:space="preserve"> 200 mg </w:t>
      </w:r>
      <w:proofErr w:type="gramStart"/>
      <w:r w:rsidR="00B6727D">
        <w:t>daily;  21</w:t>
      </w:r>
      <w:proofErr w:type="gramEnd"/>
      <w:r w:rsidR="00B6727D">
        <w:t xml:space="preserve"> received </w:t>
      </w:r>
      <w:proofErr w:type="spellStart"/>
      <w:r w:rsidR="00B6727D">
        <w:t>upamostat</w:t>
      </w:r>
      <w:proofErr w:type="spellEnd"/>
      <w:r w:rsidR="00B6727D">
        <w:t xml:space="preserve"> 400 mg daily.  </w:t>
      </w:r>
      <w:r w:rsidR="00B771DE">
        <w:t xml:space="preserve">Median age was </w:t>
      </w:r>
      <w:proofErr w:type="gramStart"/>
      <w:r w:rsidR="00B771DE">
        <w:t>49;  44</w:t>
      </w:r>
      <w:proofErr w:type="gramEnd"/>
      <w:r w:rsidR="00B771DE">
        <w:t xml:space="preserve">% were male, 59% </w:t>
      </w:r>
      <w:r w:rsidR="006A20B6">
        <w:t xml:space="preserve">had </w:t>
      </w:r>
      <w:r w:rsidR="00DF1A2B">
        <w:rPr>
          <w:rFonts w:cs="Times New Roman"/>
        </w:rPr>
        <w:t>≥</w:t>
      </w:r>
      <w:r w:rsidR="00DF1A2B">
        <w:t>1 factor associated with high risk for disease progression</w:t>
      </w:r>
      <w:r w:rsidR="00B771DE">
        <w:t xml:space="preserve">;  </w:t>
      </w:r>
      <w:r w:rsidR="00FC2A43">
        <w:t xml:space="preserve">48% had </w:t>
      </w:r>
      <w:r w:rsidR="00FC2A43">
        <w:rPr>
          <w:rFonts w:cs="Times New Roman"/>
        </w:rPr>
        <w:t>≥</w:t>
      </w:r>
      <w:r w:rsidR="00FC2A43">
        <w:t xml:space="preserve">1 severe baseline symptom. </w:t>
      </w:r>
      <w:r w:rsidR="00A9729D">
        <w:t xml:space="preserve"> Most patients were accrued when delta was the predominant variant.</w:t>
      </w:r>
      <w:r w:rsidR="00FC2A43">
        <w:t xml:space="preserve"> Groups were well balanced.</w:t>
      </w:r>
    </w:p>
    <w:p w14:paraId="286A4D42" w14:textId="2E4AD8B3" w:rsidR="00A9729D" w:rsidRDefault="00A9729D" w:rsidP="00523D8C">
      <w:pPr>
        <w:spacing w:line="240" w:lineRule="auto"/>
      </w:pPr>
      <w:r>
        <w:t xml:space="preserve">Treatment was well </w:t>
      </w:r>
      <w:proofErr w:type="gramStart"/>
      <w:r>
        <w:t>tolerated;  only</w:t>
      </w:r>
      <w:proofErr w:type="gramEnd"/>
      <w:r>
        <w:t xml:space="preserve"> one patient</w:t>
      </w:r>
      <w:r w:rsidR="006C1B93">
        <w:t xml:space="preserve"> (</w:t>
      </w:r>
      <w:proofErr w:type="spellStart"/>
      <w:r>
        <w:t>upamostat</w:t>
      </w:r>
      <w:proofErr w:type="spellEnd"/>
      <w:r>
        <w:t xml:space="preserve"> </w:t>
      </w:r>
      <w:r w:rsidR="006C1B93">
        <w:t>400)</w:t>
      </w:r>
      <w:r>
        <w:t xml:space="preserve"> reported an adverse event related to study medication, a mild, transient skin rash.  </w:t>
      </w:r>
    </w:p>
    <w:p w14:paraId="3F192B04" w14:textId="45FAA55A" w:rsidR="00E857F6" w:rsidRDefault="00A9729D" w:rsidP="00523D8C">
      <w:pPr>
        <w:spacing w:line="240" w:lineRule="auto"/>
      </w:pPr>
      <w:r>
        <w:t>Median (interquartile) time to</w:t>
      </w:r>
      <w:r w:rsidR="002165DC">
        <w:t xml:space="preserve"> sustained</w:t>
      </w:r>
      <w:r>
        <w:t xml:space="preserve"> </w:t>
      </w:r>
      <w:r w:rsidR="00097C68">
        <w:t xml:space="preserve">symptomatic </w:t>
      </w:r>
      <w:r>
        <w:t>recovery</w:t>
      </w:r>
      <w:r w:rsidR="00097C68">
        <w:t xml:space="preserve"> </w:t>
      </w:r>
      <w:r>
        <w:t xml:space="preserve">was 38 (15.5-57) days for placebo, 29.5 (18.5-57) days for </w:t>
      </w:r>
      <w:proofErr w:type="spellStart"/>
      <w:r>
        <w:t>upamostat</w:t>
      </w:r>
      <w:proofErr w:type="spellEnd"/>
      <w:r>
        <w:t xml:space="preserve"> 200 and 38 (16-57) days for </w:t>
      </w:r>
      <w:proofErr w:type="spellStart"/>
      <w:r>
        <w:t>upamostat</w:t>
      </w:r>
      <w:proofErr w:type="spellEnd"/>
      <w:r>
        <w:t xml:space="preserve"> 400.  </w:t>
      </w:r>
      <w:r w:rsidR="006C1B93">
        <w:t xml:space="preserve">However, </w:t>
      </w:r>
      <w:r w:rsidR="002165DC">
        <w:t xml:space="preserve">incidence of severe </w:t>
      </w:r>
      <w:r w:rsidR="00097C68">
        <w:t xml:space="preserve">new </w:t>
      </w:r>
      <w:r w:rsidR="002165DC">
        <w:t xml:space="preserve">symptoms was 20% in the placebo group versus 5% and 0% in the </w:t>
      </w:r>
      <w:proofErr w:type="spellStart"/>
      <w:r w:rsidR="002165DC">
        <w:t>upamostat</w:t>
      </w:r>
      <w:proofErr w:type="spellEnd"/>
      <w:r w:rsidR="002165DC">
        <w:t xml:space="preserve"> 200 and 400 groups respectively (p=0.036</w:t>
      </w:r>
      <w:r w:rsidR="00AB20BE">
        <w:t>,</w:t>
      </w:r>
      <w:r w:rsidR="002165DC">
        <w:t xml:space="preserve"> Fisher’s exact test for comparison between placebo and </w:t>
      </w:r>
      <w:r w:rsidR="00AB20BE">
        <w:t xml:space="preserve">combined </w:t>
      </w:r>
      <w:proofErr w:type="spellStart"/>
      <w:r w:rsidR="002165DC">
        <w:t>upamostat</w:t>
      </w:r>
      <w:proofErr w:type="spellEnd"/>
      <w:r w:rsidR="002165DC">
        <w:t xml:space="preserve"> group).  Three </w:t>
      </w:r>
      <w:r w:rsidR="00AB20BE">
        <w:t xml:space="preserve">placebo </w:t>
      </w:r>
      <w:r w:rsidR="002165DC">
        <w:t xml:space="preserve">patients (15%) versus no patients in either </w:t>
      </w:r>
      <w:proofErr w:type="spellStart"/>
      <w:r w:rsidR="002165DC">
        <w:t>upamostat</w:t>
      </w:r>
      <w:proofErr w:type="spellEnd"/>
      <w:r w:rsidR="002165DC">
        <w:t xml:space="preserve"> group were hospitalized for </w:t>
      </w:r>
      <w:r w:rsidR="00DF1A2B">
        <w:t xml:space="preserve">worsening </w:t>
      </w:r>
      <w:r w:rsidR="002165DC">
        <w:t>COVID (p=0.03).</w:t>
      </w:r>
      <w:r w:rsidR="001C7BA2">
        <w:t xml:space="preserve">  </w:t>
      </w:r>
      <w:r w:rsidR="007B08B5">
        <w:t xml:space="preserve">Mean D-dimer level remained constant in placebo </w:t>
      </w:r>
      <w:r w:rsidR="00097C68">
        <w:t xml:space="preserve">patients </w:t>
      </w:r>
      <w:r w:rsidR="007B08B5">
        <w:t xml:space="preserve">but decreased by 37% and 49% over the study in </w:t>
      </w:r>
      <w:proofErr w:type="spellStart"/>
      <w:r w:rsidR="007B08B5">
        <w:t>upamostat</w:t>
      </w:r>
      <w:proofErr w:type="spellEnd"/>
      <w:r w:rsidR="007B08B5">
        <w:t xml:space="preserve"> 200 and 400 </w:t>
      </w:r>
      <w:r w:rsidR="00097C68">
        <w:t>patients</w:t>
      </w:r>
      <w:r w:rsidR="007B08B5">
        <w:t>, respectively</w:t>
      </w:r>
      <w:r w:rsidR="00DF1A2B">
        <w:t xml:space="preserve"> (p=0.076 for comparison between placebo and </w:t>
      </w:r>
      <w:proofErr w:type="spellStart"/>
      <w:r w:rsidR="00DF1A2B">
        <w:t>upamostat</w:t>
      </w:r>
      <w:proofErr w:type="spellEnd"/>
      <w:r w:rsidR="00DF1A2B">
        <w:t xml:space="preserve"> 400 mg groups)</w:t>
      </w:r>
      <w:r w:rsidR="007B08B5">
        <w:t xml:space="preserve">. </w:t>
      </w:r>
    </w:p>
    <w:p w14:paraId="0A248799" w14:textId="3672BC3E" w:rsidR="00523D8C" w:rsidRDefault="00E857F6" w:rsidP="00523D8C">
      <w:pPr>
        <w:spacing w:line="240" w:lineRule="auto"/>
      </w:pPr>
      <w:r>
        <w:t>Conclusions:</w:t>
      </w:r>
      <w:r w:rsidR="007B08B5">
        <w:t xml:space="preserve">  </w:t>
      </w:r>
      <w:proofErr w:type="spellStart"/>
      <w:r w:rsidR="007B08B5">
        <w:t>Upamostat</w:t>
      </w:r>
      <w:proofErr w:type="spellEnd"/>
      <w:r w:rsidR="007B08B5">
        <w:t xml:space="preserve"> was well tolerated. </w:t>
      </w:r>
      <w:r w:rsidR="00DF1A2B">
        <w:t xml:space="preserve"> Entering patients based on symptomatology selected an outpatient population with a higher probability of hospitalization than studies not requiring minimal symptomatology.</w:t>
      </w:r>
      <w:r w:rsidR="007B08B5">
        <w:t xml:space="preserve"> Despite small group sizes, </w:t>
      </w:r>
      <w:r w:rsidR="00DF1A2B">
        <w:t xml:space="preserve">this pilot study showed that oral </w:t>
      </w:r>
      <w:proofErr w:type="spellStart"/>
      <w:r w:rsidR="00DF1A2B">
        <w:t>upamostat</w:t>
      </w:r>
      <w:proofErr w:type="spellEnd"/>
      <w:r w:rsidR="00DF1A2B">
        <w:t xml:space="preserve"> was safe and effective in decreasing incidence of new severe symptoms and hospitalization for COVID-19, as well as </w:t>
      </w:r>
      <w:r w:rsidR="0091751C">
        <w:t>decreasing D-dimer levels.</w:t>
      </w:r>
    </w:p>
    <w:sectPr w:rsidR="00523D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511936"/>
    <w:multiLevelType w:val="multilevel"/>
    <w:tmpl w:val="C08C40E8"/>
    <w:lvl w:ilvl="0">
      <w:start w:val="1"/>
      <w:numFmt w:val="decimal"/>
      <w:lvlText w:val="%1"/>
      <w:lvlJc w:val="left"/>
      <w:pPr>
        <w:ind w:left="547" w:hanging="54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61" w:hanging="691"/>
      </w:pPr>
      <w:rPr>
        <w:rFonts w:hint="default"/>
      </w:rPr>
    </w:lvl>
    <w:lvl w:ilvl="2">
      <w:start w:val="1"/>
      <w:numFmt w:val="decimal"/>
      <w:pStyle w:val="-heading3"/>
      <w:lvlText w:val="%1.%2.%3"/>
      <w:lvlJc w:val="left"/>
      <w:pPr>
        <w:ind w:left="4615" w:hanging="83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53" w:hanging="1123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67" w:hanging="12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62A77DAD"/>
    <w:multiLevelType w:val="multilevel"/>
    <w:tmpl w:val="52A281EA"/>
    <w:lvl w:ilvl="0">
      <w:start w:val="1"/>
      <w:numFmt w:val="decimal"/>
      <w:pStyle w:val="Heading2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79976396"/>
    <w:multiLevelType w:val="hybridMultilevel"/>
    <w:tmpl w:val="64FA3FDA"/>
    <w:lvl w:ilvl="0" w:tplc="1F16D2C2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21712270">
    <w:abstractNumId w:val="2"/>
  </w:num>
  <w:num w:numId="2" w16cid:durableId="1592158864">
    <w:abstractNumId w:val="2"/>
  </w:num>
  <w:num w:numId="3" w16cid:durableId="663053257">
    <w:abstractNumId w:val="1"/>
  </w:num>
  <w:num w:numId="4" w16cid:durableId="9825822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C1C"/>
    <w:rsid w:val="00056BA7"/>
    <w:rsid w:val="00097C68"/>
    <w:rsid w:val="00102ED9"/>
    <w:rsid w:val="001A097B"/>
    <w:rsid w:val="001B2007"/>
    <w:rsid w:val="001C3B9F"/>
    <w:rsid w:val="001C7BA2"/>
    <w:rsid w:val="001D0AB0"/>
    <w:rsid w:val="001F5095"/>
    <w:rsid w:val="00201642"/>
    <w:rsid w:val="002165DC"/>
    <w:rsid w:val="00244CE2"/>
    <w:rsid w:val="00245A67"/>
    <w:rsid w:val="0028428C"/>
    <w:rsid w:val="002E716B"/>
    <w:rsid w:val="002F04AD"/>
    <w:rsid w:val="00465315"/>
    <w:rsid w:val="00523D8C"/>
    <w:rsid w:val="00530091"/>
    <w:rsid w:val="005330CD"/>
    <w:rsid w:val="005512B0"/>
    <w:rsid w:val="005C47FD"/>
    <w:rsid w:val="005E3B82"/>
    <w:rsid w:val="005F7045"/>
    <w:rsid w:val="0061529E"/>
    <w:rsid w:val="006564A9"/>
    <w:rsid w:val="0069584F"/>
    <w:rsid w:val="006A20B6"/>
    <w:rsid w:val="006C1B93"/>
    <w:rsid w:val="006E2219"/>
    <w:rsid w:val="00713C8E"/>
    <w:rsid w:val="0078759A"/>
    <w:rsid w:val="0079527C"/>
    <w:rsid w:val="007B08B5"/>
    <w:rsid w:val="008168E3"/>
    <w:rsid w:val="00851203"/>
    <w:rsid w:val="0091751C"/>
    <w:rsid w:val="009E6520"/>
    <w:rsid w:val="00A838F5"/>
    <w:rsid w:val="00A9729D"/>
    <w:rsid w:val="00AB20BE"/>
    <w:rsid w:val="00B00A99"/>
    <w:rsid w:val="00B20A6F"/>
    <w:rsid w:val="00B3539E"/>
    <w:rsid w:val="00B43D6B"/>
    <w:rsid w:val="00B6727D"/>
    <w:rsid w:val="00B771DE"/>
    <w:rsid w:val="00CB07C8"/>
    <w:rsid w:val="00D35F6A"/>
    <w:rsid w:val="00D62C1C"/>
    <w:rsid w:val="00D719BB"/>
    <w:rsid w:val="00DE466F"/>
    <w:rsid w:val="00DF1A2B"/>
    <w:rsid w:val="00E67EC9"/>
    <w:rsid w:val="00E857F6"/>
    <w:rsid w:val="00F60A2C"/>
    <w:rsid w:val="00FA0AA3"/>
    <w:rsid w:val="00FC2A43"/>
    <w:rsid w:val="00FE32CF"/>
    <w:rsid w:val="00FF1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8C23E5"/>
  <w15:chartTrackingRefBased/>
  <w15:docId w15:val="{7702F319-8052-449D-A73F-6ACB0ADC1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radley Hand ITC" w:eastAsiaTheme="minorHAnsi" w:hAnsi="Bradley Hand ITC" w:cstheme="majorBidi"/>
        <w:color w:val="D60093"/>
        <w:lang w:val="en-US" w:eastAsia="en-US" w:bidi="he-IL"/>
      </w:rPr>
    </w:rPrDefault>
    <w:pPrDefault>
      <w:pPr>
        <w:spacing w:before="120" w:after="12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0A99"/>
    <w:rPr>
      <w:rFonts w:ascii="Times New Roman" w:hAnsi="Times New Roman" w:cstheme="minorBidi"/>
      <w:color w:val="auto"/>
      <w:sz w:val="24"/>
      <w:szCs w:val="22"/>
      <w:lang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64A9"/>
    <w:pPr>
      <w:keepNext/>
      <w:keepLines/>
      <w:pageBreakBefore/>
      <w:widowControl w:val="0"/>
      <w:spacing w:before="240"/>
      <w:outlineLvl w:val="0"/>
    </w:pPr>
    <w:rPr>
      <w:rFonts w:asciiTheme="majorBidi" w:eastAsiaTheme="majorEastAsia" w:hAnsiTheme="majorBidi"/>
      <w:b/>
      <w:color w:val="000000" w:themeColor="text1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35F6A"/>
    <w:pPr>
      <w:keepNext/>
      <w:keepLines/>
      <w:spacing w:before="40" w:after="0"/>
      <w:outlineLvl w:val="1"/>
    </w:pPr>
    <w:rPr>
      <w:rFonts w:eastAsiaTheme="majorEastAsia"/>
      <w:b/>
      <w:szCs w:val="26"/>
    </w:rPr>
  </w:style>
  <w:style w:type="paragraph" w:styleId="Heading3">
    <w:name w:val="heading 3"/>
    <w:basedOn w:val="Normal"/>
    <w:next w:val="Normal"/>
    <w:link w:val="Heading3Char"/>
    <w:autoRedefine/>
    <w:qFormat/>
    <w:rsid w:val="001A097B"/>
    <w:pPr>
      <w:keepNext/>
      <w:spacing w:before="240" w:after="60" w:line="240" w:lineRule="auto"/>
      <w:jc w:val="both"/>
      <w:outlineLvl w:val="2"/>
    </w:pPr>
    <w:rPr>
      <w:rFonts w:ascii="Arial" w:eastAsia="Times New Roman" w:hAnsi="Arial" w:cs="Arial"/>
      <w:b/>
      <w:bCs/>
      <w:szCs w:val="26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64A9"/>
    <w:rPr>
      <w:rFonts w:asciiTheme="majorBidi" w:eastAsiaTheme="majorEastAsia" w:hAnsiTheme="majorBidi"/>
      <w:b/>
      <w:color w:val="000000" w:themeColor="text1"/>
      <w:sz w:val="24"/>
      <w:szCs w:val="32"/>
    </w:rPr>
  </w:style>
  <w:style w:type="paragraph" w:styleId="Caption">
    <w:name w:val="caption"/>
    <w:basedOn w:val="Normal"/>
    <w:next w:val="Normal"/>
    <w:autoRedefine/>
    <w:uiPriority w:val="35"/>
    <w:unhideWhenUsed/>
    <w:qFormat/>
    <w:rsid w:val="0078759A"/>
    <w:pPr>
      <w:spacing w:before="0" w:after="200" w:line="240" w:lineRule="auto"/>
      <w:ind w:left="835"/>
    </w:pPr>
    <w:rPr>
      <w:rFonts w:ascii="Arial" w:eastAsia="Times New Roman" w:hAnsi="Arial" w:cs="Times New Roman"/>
      <w:b/>
      <w:iCs/>
      <w:sz w:val="20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D35F6A"/>
    <w:rPr>
      <w:rFonts w:ascii="Times New Roman" w:eastAsiaTheme="majorEastAsia" w:hAnsi="Times New Roman"/>
      <w:b/>
      <w:sz w:val="24"/>
      <w:szCs w:val="26"/>
    </w:rPr>
  </w:style>
  <w:style w:type="character" w:customStyle="1" w:styleId="Heading3Char">
    <w:name w:val="Heading 3 Char"/>
    <w:basedOn w:val="DefaultParagraphFont"/>
    <w:link w:val="Heading3"/>
    <w:rsid w:val="001A097B"/>
    <w:rPr>
      <w:rFonts w:ascii="Arial" w:eastAsia="Times New Roman" w:hAnsi="Arial" w:cs="Arial"/>
      <w:b/>
      <w:bCs/>
      <w:color w:val="auto"/>
      <w:sz w:val="24"/>
      <w:szCs w:val="26"/>
      <w:lang w:val="en-GB" w:bidi="ar-SA"/>
    </w:rPr>
  </w:style>
  <w:style w:type="paragraph" w:customStyle="1" w:styleId="TableParagraph">
    <w:name w:val="Table Paragraph"/>
    <w:basedOn w:val="Normal"/>
    <w:uiPriority w:val="1"/>
    <w:qFormat/>
    <w:rsid w:val="00B00A99"/>
  </w:style>
  <w:style w:type="paragraph" w:customStyle="1" w:styleId="Heading21">
    <w:name w:val="Heading 21"/>
    <w:basedOn w:val="Normal"/>
    <w:link w:val="heading2Char0"/>
    <w:qFormat/>
    <w:rsid w:val="00A838F5"/>
    <w:pPr>
      <w:numPr>
        <w:numId w:val="3"/>
      </w:numPr>
      <w:spacing w:line="240" w:lineRule="auto"/>
      <w:ind w:left="360" w:hanging="360"/>
    </w:pPr>
    <w:rPr>
      <w:rFonts w:ascii="Bradley Hand ITC" w:hAnsi="Bradley Hand ITC" w:cstheme="majorBidi"/>
      <w:b/>
      <w:color w:val="D60093"/>
      <w:szCs w:val="24"/>
    </w:rPr>
  </w:style>
  <w:style w:type="character" w:customStyle="1" w:styleId="heading2Char0">
    <w:name w:val="heading 2 Char"/>
    <w:basedOn w:val="DefaultParagraphFont"/>
    <w:link w:val="Heading21"/>
    <w:rsid w:val="00A838F5"/>
    <w:rPr>
      <w:b/>
      <w:sz w:val="24"/>
      <w:szCs w:val="24"/>
      <w:lang w:bidi="ar-SA"/>
    </w:rPr>
  </w:style>
  <w:style w:type="paragraph" w:customStyle="1" w:styleId="-heading3">
    <w:name w:val="- heading 3"/>
    <w:qFormat/>
    <w:rsid w:val="008168E3"/>
    <w:pPr>
      <w:keepNext/>
      <w:numPr>
        <w:ilvl w:val="2"/>
        <w:numId w:val="4"/>
      </w:numPr>
      <w:spacing w:line="240" w:lineRule="auto"/>
      <w:outlineLvl w:val="2"/>
    </w:pPr>
    <w:rPr>
      <w:rFonts w:ascii="Times New Roman" w:eastAsia="Times New Roman" w:hAnsi="Times New Roman" w:cs="Arial"/>
      <w:b/>
      <w:bCs/>
      <w:color w:val="auto"/>
      <w:sz w:val="24"/>
      <w:szCs w:val="26"/>
      <w:lang w:bidi="ar-SA"/>
    </w:rPr>
  </w:style>
  <w:style w:type="paragraph" w:styleId="TableofFigures">
    <w:name w:val="table of figures"/>
    <w:basedOn w:val="Normal"/>
    <w:next w:val="Normal"/>
    <w:uiPriority w:val="99"/>
    <w:unhideWhenUsed/>
    <w:rsid w:val="005E3B82"/>
    <w:pPr>
      <w:spacing w:before="0" w:after="0"/>
      <w:ind w:left="480" w:hanging="480"/>
    </w:pPr>
    <w:rPr>
      <w:rFonts w:asciiTheme="majorBidi" w:hAnsiTheme="majorBidi" w:cs="Times New Roman"/>
      <w:caps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483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Terry F. Plasse</dc:creator>
  <cp:keywords/>
  <dc:description/>
  <cp:lastModifiedBy>Terry F. Plasse</cp:lastModifiedBy>
  <cp:revision>6</cp:revision>
  <dcterms:created xsi:type="dcterms:W3CDTF">2022-04-29T07:04:00Z</dcterms:created>
  <dcterms:modified xsi:type="dcterms:W3CDTF">2022-04-29T07:27:00Z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fd58de0-a343-48a4-8296-135d608512fd_Enabled">
    <vt:lpwstr>true</vt:lpwstr>
  </property>
  <property fmtid="{D5CDD505-2E9C-101B-9397-08002B2CF9AE}" pid="3" name="MSIP_Label_bfd58de0-a343-48a4-8296-135d608512fd_SetDate">
    <vt:lpwstr>2022-04-28T05:38:05Z</vt:lpwstr>
  </property>
  <property fmtid="{D5CDD505-2E9C-101B-9397-08002B2CF9AE}" pid="4" name="MSIP_Label_bfd58de0-a343-48a4-8296-135d608512fd_Method">
    <vt:lpwstr>Standard</vt:lpwstr>
  </property>
  <property fmtid="{D5CDD505-2E9C-101B-9397-08002B2CF9AE}" pid="5" name="MSIP_Label_bfd58de0-a343-48a4-8296-135d608512fd_Name">
    <vt:lpwstr>General</vt:lpwstr>
  </property>
  <property fmtid="{D5CDD505-2E9C-101B-9397-08002B2CF9AE}" pid="6" name="MSIP_Label_bfd58de0-a343-48a4-8296-135d608512fd_SiteId">
    <vt:lpwstr>f6940848-0dcd-4a2d-88ce-19f25bc07a90</vt:lpwstr>
  </property>
  <property fmtid="{D5CDD505-2E9C-101B-9397-08002B2CF9AE}" pid="7" name="MSIP_Label_bfd58de0-a343-48a4-8296-135d608512fd_ActionId">
    <vt:lpwstr>3782541d-a189-4778-9cb0-871c6fae7c8d</vt:lpwstr>
  </property>
  <property fmtid="{D5CDD505-2E9C-101B-9397-08002B2CF9AE}" pid="8" name="MSIP_Label_bfd58de0-a343-48a4-8296-135d608512fd_ContentBits">
    <vt:lpwstr>0</vt:lpwstr>
  </property>
</Properties>
</file>