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171" w:rsidRPr="00A62DE9" w:rsidRDefault="00541171" w:rsidP="00541171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The immunomodulation of </w:t>
      </w:r>
      <w:r w:rsidRPr="00A62DE9">
        <w:rPr>
          <w:rFonts w:asciiTheme="majorBidi" w:hAnsiTheme="majorBidi" w:cstheme="majorBidi"/>
          <w:b/>
          <w:bCs/>
          <w:sz w:val="24"/>
          <w:szCs w:val="24"/>
        </w:rPr>
        <w:t>SARS-COV-2 infection on the production of cytokines by peripheral blood mononuclear cells and neutrophils in COVID-19 ICU patients.</w:t>
      </w:r>
    </w:p>
    <w:p w:rsidR="00541171" w:rsidRPr="00D15228" w:rsidRDefault="00541171" w:rsidP="0054117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1171" w:rsidRPr="00BF1598" w:rsidRDefault="00541171" w:rsidP="00541171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F1598">
        <w:rPr>
          <w:rFonts w:asciiTheme="majorBidi" w:hAnsiTheme="majorBidi" w:cstheme="majorBidi"/>
          <w:b/>
          <w:bCs/>
          <w:sz w:val="24"/>
          <w:szCs w:val="24"/>
        </w:rPr>
        <w:t>Sahar Essa</w:t>
      </w:r>
      <w:r w:rsidRPr="00BF159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 1</w:t>
      </w:r>
      <w:r w:rsidRPr="00BF1598">
        <w:rPr>
          <w:rFonts w:asciiTheme="majorBidi" w:hAnsiTheme="majorBidi" w:cstheme="majorBidi"/>
          <w:b/>
          <w:bCs/>
          <w:sz w:val="24"/>
          <w:szCs w:val="24"/>
        </w:rPr>
        <w:t>, Mohammed Shamsah</w:t>
      </w:r>
      <w:r w:rsidRPr="00BF159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 w:rsidRPr="00BF1598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BF1598">
        <w:rPr>
          <w:rFonts w:asciiTheme="majorBidi" w:hAnsiTheme="majorBidi" w:cstheme="majorBidi"/>
          <w:b/>
          <w:bCs/>
          <w:sz w:val="24"/>
          <w:szCs w:val="24"/>
        </w:rPr>
        <w:t>Abdulaziz</w:t>
      </w:r>
      <w:proofErr w:type="spellEnd"/>
      <w:r w:rsidRPr="00BF159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BF1598">
        <w:rPr>
          <w:rFonts w:asciiTheme="majorBidi" w:hAnsiTheme="majorBidi" w:cstheme="majorBidi"/>
          <w:b/>
          <w:bCs/>
          <w:sz w:val="24"/>
          <w:szCs w:val="24"/>
        </w:rPr>
        <w:t>AlSaraf</w:t>
      </w:r>
      <w:proofErr w:type="spellEnd"/>
      <w:r w:rsidRPr="00BF159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BF159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  <w:r w:rsidRPr="00BF1598">
        <w:rPr>
          <w:rFonts w:asciiTheme="majorBidi" w:hAnsiTheme="majorBidi" w:cstheme="majorBidi"/>
          <w:b/>
          <w:bCs/>
          <w:sz w:val="24"/>
          <w:szCs w:val="24"/>
        </w:rPr>
        <w:t>, Ali E</w:t>
      </w:r>
      <w:r w:rsidRPr="00BF1598">
        <w:rPr>
          <w:rFonts w:asciiTheme="majorBidi" w:hAnsiTheme="majorBidi" w:cstheme="majorBidi"/>
          <w:b/>
          <w:bCs/>
          <w:color w:val="000000"/>
          <w:sz w:val="24"/>
          <w:szCs w:val="24"/>
        </w:rPr>
        <w:t>smaeil</w:t>
      </w:r>
      <w:r w:rsidRPr="00BF159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  <w:r w:rsidRPr="00BF1598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BF1598">
        <w:rPr>
          <w:rFonts w:asciiTheme="majorBidi" w:hAnsiTheme="majorBidi" w:cstheme="majorBidi"/>
          <w:b/>
          <w:bCs/>
          <w:color w:val="000000"/>
          <w:sz w:val="24"/>
          <w:szCs w:val="24"/>
        </w:rPr>
        <w:t>Ahmed Al-Shammasi</w:t>
      </w:r>
      <w:r w:rsidRPr="00BF159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  <w:r w:rsidRPr="00BF1598">
        <w:rPr>
          <w:rFonts w:asciiTheme="majorBidi" w:hAnsiTheme="majorBidi" w:cstheme="majorBidi"/>
          <w:b/>
          <w:bCs/>
          <w:sz w:val="24"/>
          <w:szCs w:val="24"/>
        </w:rPr>
        <w:t>, Raj Raghupathy</w:t>
      </w:r>
      <w:r w:rsidRPr="00BF159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</w:p>
    <w:p w:rsidR="00541171" w:rsidRPr="00BF1598" w:rsidRDefault="00541171" w:rsidP="00541171">
      <w:pPr>
        <w:spacing w:after="0" w:line="240" w:lineRule="auto"/>
        <w:ind w:left="1440"/>
        <w:rPr>
          <w:rFonts w:asciiTheme="majorBidi" w:hAnsiTheme="majorBidi" w:cstheme="majorBidi"/>
        </w:rPr>
      </w:pPr>
      <w:r w:rsidRPr="00BF1598">
        <w:rPr>
          <w:rFonts w:asciiTheme="majorBidi" w:hAnsiTheme="majorBidi" w:cstheme="majorBidi"/>
          <w:vertAlign w:val="superscript"/>
        </w:rPr>
        <w:t>1</w:t>
      </w:r>
      <w:r w:rsidRPr="00BF1598">
        <w:rPr>
          <w:rFonts w:asciiTheme="majorBidi" w:hAnsiTheme="majorBidi" w:cstheme="majorBidi"/>
        </w:rPr>
        <w:t xml:space="preserve"> Department of Microbiology, Faculty of Medicine, Kuwait University</w:t>
      </w:r>
    </w:p>
    <w:p w:rsidR="00541171" w:rsidRPr="00BF1598" w:rsidRDefault="00541171" w:rsidP="00541171">
      <w:pPr>
        <w:spacing w:after="0" w:line="240" w:lineRule="auto"/>
        <w:ind w:left="1440"/>
        <w:rPr>
          <w:rFonts w:asciiTheme="majorBidi" w:hAnsiTheme="majorBidi" w:cstheme="majorBidi"/>
        </w:rPr>
      </w:pPr>
      <w:r w:rsidRPr="00BF1598">
        <w:rPr>
          <w:rFonts w:asciiTheme="majorBidi" w:hAnsiTheme="majorBidi" w:cstheme="majorBidi"/>
          <w:vertAlign w:val="superscript"/>
        </w:rPr>
        <w:t>2</w:t>
      </w:r>
      <w:r w:rsidRPr="00BF1598">
        <w:rPr>
          <w:rFonts w:asciiTheme="majorBidi" w:hAnsiTheme="majorBidi" w:cstheme="majorBidi"/>
        </w:rPr>
        <w:t xml:space="preserve"> Department of Anesthesia, Critical Care and Pain Management, Al Adan Hospital, Ministry  </w:t>
      </w:r>
    </w:p>
    <w:p w:rsidR="00541171" w:rsidRPr="00BF1598" w:rsidRDefault="00541171" w:rsidP="00541171">
      <w:pPr>
        <w:spacing w:after="0" w:line="240" w:lineRule="auto"/>
        <w:ind w:left="1440"/>
        <w:rPr>
          <w:rFonts w:asciiTheme="majorBidi" w:hAnsiTheme="majorBidi" w:cstheme="majorBidi"/>
        </w:rPr>
      </w:pPr>
      <w:r w:rsidRPr="00BF1598">
        <w:rPr>
          <w:rFonts w:asciiTheme="majorBidi" w:hAnsiTheme="majorBidi" w:cstheme="majorBidi"/>
        </w:rPr>
        <w:t xml:space="preserve">     of Health, Kuwait</w:t>
      </w:r>
    </w:p>
    <w:p w:rsidR="00541171" w:rsidRPr="00BF1598" w:rsidRDefault="00541171" w:rsidP="00541171">
      <w:pPr>
        <w:spacing w:after="0" w:line="240" w:lineRule="auto"/>
        <w:ind w:left="1440"/>
        <w:rPr>
          <w:rFonts w:asciiTheme="majorBidi" w:hAnsiTheme="majorBidi" w:cstheme="majorBidi"/>
        </w:rPr>
      </w:pPr>
      <w:r w:rsidRPr="00BF1598">
        <w:rPr>
          <w:rFonts w:asciiTheme="majorBidi" w:hAnsiTheme="majorBidi" w:cstheme="majorBidi"/>
          <w:vertAlign w:val="superscript"/>
        </w:rPr>
        <w:t>3</w:t>
      </w:r>
      <w:r w:rsidRPr="00BF1598">
        <w:rPr>
          <w:rFonts w:asciiTheme="majorBidi" w:hAnsiTheme="majorBidi" w:cstheme="majorBidi"/>
        </w:rPr>
        <w:t xml:space="preserve"> Ministry of Health, Adan Hospital, Kuwait</w:t>
      </w:r>
    </w:p>
    <w:p w:rsidR="00541171" w:rsidRDefault="00541171" w:rsidP="0054117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1171" w:rsidRPr="00D15228" w:rsidRDefault="00541171" w:rsidP="00114477">
      <w:pPr>
        <w:widowControl w:val="0"/>
        <w:tabs>
          <w:tab w:val="left" w:pos="73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541171" w:rsidRDefault="00541171" w:rsidP="0054117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41171" w:rsidRPr="00BF1598" w:rsidRDefault="00541171" w:rsidP="001144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  <w:b/>
          <w:bCs/>
          <w:sz w:val="28"/>
          <w:szCs w:val="28"/>
        </w:rPr>
        <w:t>Abstract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lang w:val="en-AU"/>
        </w:rPr>
        <w:t xml:space="preserve"> </w:t>
      </w:r>
      <w:r w:rsidRPr="00BF1598">
        <w:rPr>
          <w:rFonts w:ascii="Times New Roman" w:hAnsi="Times New Roman" w:cs="Times New Roman"/>
          <w:lang w:val="en-AU"/>
        </w:rPr>
        <w:t xml:space="preserve">COVID-19 pandemic is spreading globally with a worrying mortality rate. Unique medical features of severe COVID-19 include neutrophilia, cytokine storm, acute respiratory distress syndrome, and severe inflammatory syndrome. Here, we propose investigating the influence of SARS-CoV-2 infection on the cytokines profile of peripheral blood mononuclear cells (PBMC) and neutrophils in COVID-19 patients. This study examines PBMC and neutrophils as a potential source of </w:t>
      </w:r>
      <w:proofErr w:type="spellStart"/>
      <w:r w:rsidRPr="00BF1598">
        <w:rPr>
          <w:rFonts w:ascii="Times New Roman" w:hAnsi="Times New Roman" w:cs="Times New Roman"/>
          <w:lang w:val="en-AU"/>
        </w:rPr>
        <w:t>immunopathologic</w:t>
      </w:r>
      <w:proofErr w:type="spellEnd"/>
      <w:r w:rsidRPr="00BF1598">
        <w:rPr>
          <w:rFonts w:ascii="Times New Roman" w:hAnsi="Times New Roman" w:cs="Times New Roman"/>
          <w:lang w:val="en-AU"/>
        </w:rPr>
        <w:t xml:space="preserve"> complications for severely ill COVID-19 patients or as an immunomodulation target </w:t>
      </w:r>
      <w:r w:rsidR="00114477">
        <w:rPr>
          <w:rFonts w:ascii="Times New Roman" w:hAnsi="Times New Roman" w:cs="Times New Roman"/>
          <w:lang w:val="en-AU"/>
        </w:rPr>
        <w:t>for</w:t>
      </w:r>
      <w:r w:rsidRPr="00BF1598">
        <w:rPr>
          <w:rFonts w:ascii="Times New Roman" w:hAnsi="Times New Roman" w:cs="Times New Roman"/>
          <w:lang w:val="en-AU"/>
        </w:rPr>
        <w:t xml:space="preserve"> SARS-CoV-2 infection. Neutrophils and PBMC were separated by density gradient sedimentation and stimulated with mitogen. Culture supernatants from 89 COVID-19 patients and 89 sex and age-matched healthy control (HC) were stimulated evaluated for levels of Granulocyte-Macrophage Colony-Stimulating Factor (GM-CSF), interferon (IFN)- α, IFN-γ, interleukin (IL)-2, -4, -5, -6, -9, -10, -12, -17A, and </w:t>
      </w:r>
      <w:proofErr w:type="spellStart"/>
      <w:r w:rsidRPr="00BF1598">
        <w:rPr>
          <w:rFonts w:ascii="Times New Roman" w:hAnsi="Times New Roman" w:cs="Times New Roman"/>
          <w:lang w:val="en-AU"/>
        </w:rPr>
        <w:t>tumor</w:t>
      </w:r>
      <w:proofErr w:type="spellEnd"/>
      <w:r w:rsidRPr="00BF1598">
        <w:rPr>
          <w:rFonts w:ascii="Times New Roman" w:hAnsi="Times New Roman" w:cs="Times New Roman"/>
          <w:lang w:val="en-AU"/>
        </w:rPr>
        <w:t xml:space="preserve"> necrosis factor (TNF)-α using anti-cytokine antibody </w:t>
      </w:r>
      <w:proofErr w:type="spellStart"/>
      <w:r w:rsidRPr="00BF1598">
        <w:rPr>
          <w:rFonts w:ascii="Times New Roman" w:hAnsi="Times New Roman" w:cs="Times New Roman"/>
          <w:lang w:val="en-AU"/>
        </w:rPr>
        <w:t>MACSPlex</w:t>
      </w:r>
      <w:proofErr w:type="spellEnd"/>
      <w:r w:rsidRPr="00BF1598">
        <w:rPr>
          <w:rFonts w:ascii="Times New Roman" w:hAnsi="Times New Roman" w:cs="Times New Roman"/>
          <w:lang w:val="en-AU"/>
        </w:rPr>
        <w:t xml:space="preserve"> capture beads. The PBMC cytokine profiles showed significantly lower mean values of GM-CSF, IFN-γ, IL-6, IL-9, IL-10, IL-17A, and TNF-α (p &lt; 0.0001) for COVID-19 patients compared to HC. In contrast, COVID-19 patients showed higher mean levels of PBMC cytokine values for IL-2 (p &lt;0.001) and IL-5 (p &lt;0.01). As for neutrophils, COVID-19 patients showed significantly lower mean values in the levels of GM-CSF, IFN-γ, IL-2, IL-4, IL-5, IL-6, IL-9, IL-10, IL-17A, IL-12, TNF-α (p &lt; 0.0001), and IFN-α (p &lt; 0.01). The Th1:Th2 cytokine ratios revealed a lower inflammatory cytokine for 12 out of 24 combinations in COVID-19 ICU patients, suggesting downregulation of the cell-mediated immunity by SARS-CoV-2 infection for both the PBMC and neutrophils. Our finding may also indicate the source of raised serum cytokine levels (GM-CSF, IFN-α, IFN-γ, IL-4, IL-6, IL-9, IL-10, IL-17A, IL-12, and TNF-α) documented by previous studies in COVID-19 patients are not from PBMC or neutrophils but maybe from another cell type. We also detected a significant increase in the cytokine levels of IL-2 and IL-5 by PBMC, which may indicate that PBMC do play a part in the elevated IL-2 and IL-5 serum levels in COVID-19 patients. In conclusion, data collected for the cytokine profiles and Th1:Th2 cytokine ratios suggest that SARS-CoV-2 infection brings about an immunomodulatory effect on PBMC and neutrophils.</w:t>
      </w:r>
    </w:p>
    <w:p w:rsidR="00785ADA" w:rsidRDefault="00785ADA"/>
    <w:p w:rsidR="00114477" w:rsidRDefault="00114477" w:rsidP="0011447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15228">
        <w:rPr>
          <w:rFonts w:ascii="Times New Roman" w:hAnsi="Times New Roman" w:cs="Times New Roman"/>
          <w:b/>
          <w:bCs/>
          <w:sz w:val="28"/>
          <w:szCs w:val="28"/>
        </w:rPr>
        <w:t xml:space="preserve">Biography of presenting author </w:t>
      </w:r>
    </w:p>
    <w:p w:rsidR="00114477" w:rsidRPr="00D15228" w:rsidRDefault="00114477" w:rsidP="001144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7576E">
        <w:rPr>
          <w:rFonts w:ascii="Times New Roman" w:hAnsi="Times New Roman" w:cs="Times New Roman"/>
        </w:rPr>
        <w:t xml:space="preserve">Dr. Sahar Essa is a virologist </w:t>
      </w:r>
      <w:r>
        <w:rPr>
          <w:rFonts w:ascii="Times New Roman" w:hAnsi="Times New Roman" w:cs="Times New Roman"/>
        </w:rPr>
        <w:t xml:space="preserve">who </w:t>
      </w:r>
      <w:r w:rsidRPr="0087576E">
        <w:rPr>
          <w:rFonts w:ascii="Times New Roman" w:hAnsi="Times New Roman" w:cs="Times New Roman"/>
        </w:rPr>
        <w:t xml:space="preserve">completed her </w:t>
      </w:r>
      <w:r>
        <w:rPr>
          <w:rFonts w:ascii="Times New Roman" w:hAnsi="Times New Roman" w:cs="Times New Roman"/>
        </w:rPr>
        <w:t>Ph.D.</w:t>
      </w:r>
      <w:r w:rsidRPr="008757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at</w:t>
      </w:r>
      <w:r w:rsidRPr="0087576E">
        <w:rPr>
          <w:rFonts w:ascii="Times New Roman" w:hAnsi="Times New Roman" w:cs="Times New Roman"/>
        </w:rPr>
        <w:t xml:space="preserve"> Warwick University, United Kingdom. In addition to teaching, Dr. Essa is professionally involved in medical research. She is mainly interested in viral immunopathology. Her experience in detecting and </w:t>
      </w:r>
      <w:r>
        <w:rPr>
          <w:rFonts w:ascii="Times New Roman" w:hAnsi="Times New Roman" w:cs="Times New Roman"/>
        </w:rPr>
        <w:t>evaluating</w:t>
      </w:r>
      <w:r w:rsidRPr="0087576E">
        <w:rPr>
          <w:rFonts w:ascii="Times New Roman" w:hAnsi="Times New Roman" w:cs="Times New Roman"/>
        </w:rPr>
        <w:t xml:space="preserve"> cytokine responses in virally infected patients. She has published papers in reputed journals and recently collaborated with her </w:t>
      </w:r>
      <w:r>
        <w:rPr>
          <w:rFonts w:ascii="Times New Roman" w:hAnsi="Times New Roman" w:cs="Times New Roman"/>
        </w:rPr>
        <w:t>colleagues</w:t>
      </w:r>
      <w:r w:rsidRPr="0087576E">
        <w:rPr>
          <w:rFonts w:ascii="Times New Roman" w:hAnsi="Times New Roman" w:cs="Times New Roman"/>
        </w:rPr>
        <w:t xml:space="preserve"> and submitted conducted grants to investigate the </w:t>
      </w:r>
      <w:r>
        <w:rPr>
          <w:rFonts w:ascii="Times New Roman" w:hAnsi="Times New Roman" w:cs="Times New Roman"/>
        </w:rPr>
        <w:t>cell-mediated</w:t>
      </w:r>
      <w:r w:rsidRPr="0087576E">
        <w:rPr>
          <w:rFonts w:ascii="Times New Roman" w:hAnsi="Times New Roman" w:cs="Times New Roman"/>
        </w:rPr>
        <w:t xml:space="preserve"> immune responses during viral infections</w:t>
      </w:r>
      <w:r>
        <w:rPr>
          <w:rFonts w:ascii="Times New Roman" w:hAnsi="Times New Roman" w:cs="Times New Roman"/>
        </w:rPr>
        <w:t>.</w:t>
      </w:r>
    </w:p>
    <w:p w:rsidR="00114477" w:rsidRDefault="00114477">
      <w:bookmarkStart w:id="0" w:name="_GoBack"/>
      <w:bookmarkEnd w:id="0"/>
    </w:p>
    <w:sectPr w:rsidR="001144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71"/>
    <w:rsid w:val="00114477"/>
    <w:rsid w:val="00541171"/>
    <w:rsid w:val="0078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EBDBB"/>
  <w15:chartTrackingRefBased/>
  <w15:docId w15:val="{8A6BFD89-8622-4A40-92BA-595F03111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17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 Essa</dc:creator>
  <cp:keywords/>
  <dc:description/>
  <cp:lastModifiedBy>Sahar Essa</cp:lastModifiedBy>
  <cp:revision>2</cp:revision>
  <dcterms:created xsi:type="dcterms:W3CDTF">2022-04-03T07:54:00Z</dcterms:created>
  <dcterms:modified xsi:type="dcterms:W3CDTF">2022-04-03T07:57:00Z</dcterms:modified>
</cp:coreProperties>
</file>