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2B73" w:rsidRPr="00A62B73" w:rsidRDefault="00A62B73" w:rsidP="00A62B73">
      <w:pPr>
        <w:autoSpaceDE w:val="0"/>
        <w:autoSpaceDN w:val="0"/>
        <w:adjustRightInd w:val="0"/>
        <w:spacing w:after="0" w:line="360" w:lineRule="auto"/>
        <w:jc w:val="both"/>
        <w:rPr>
          <w:rFonts w:ascii="Times New Roman" w:hAnsi="Times New Roman" w:cs="Times New Roman"/>
          <w:b/>
          <w:color w:val="231F20"/>
          <w:sz w:val="24"/>
          <w:szCs w:val="24"/>
        </w:rPr>
      </w:pPr>
      <w:r w:rsidRPr="00A62B73">
        <w:rPr>
          <w:rFonts w:ascii="Times New Roman" w:eastAsia="Times New Roman" w:hAnsi="Times New Roman" w:cs="Times New Roman"/>
          <w:color w:val="000000" w:themeColor="text1"/>
          <w:sz w:val="24"/>
          <w:szCs w:val="24"/>
          <w:lang w:val="en-US"/>
        </w:rPr>
        <w:t xml:space="preserve">The role of </w:t>
      </w:r>
      <w:bookmarkStart w:id="0" w:name="_Hlk959942"/>
      <w:r w:rsidRPr="00A62B73">
        <w:rPr>
          <w:rFonts w:ascii="Times New Roman" w:eastAsia="Times New Roman" w:hAnsi="Times New Roman" w:cs="Times New Roman"/>
          <w:color w:val="000000" w:themeColor="text1"/>
          <w:sz w:val="24"/>
          <w:szCs w:val="24"/>
          <w:lang w:val="en-US"/>
        </w:rPr>
        <w:t xml:space="preserve">bone phosphorus, calcium and magnesium on bone reserves </w:t>
      </w:r>
      <w:r w:rsidRPr="00A62B73">
        <w:rPr>
          <w:rFonts w:ascii="Times New Roman" w:eastAsia="Times New Roman" w:hAnsi="Times New Roman" w:cs="Times New Roman"/>
          <w:sz w:val="24"/>
          <w:szCs w:val="24"/>
          <w:lang w:val="en-US"/>
        </w:rPr>
        <w:t>in native cattle grazing natural pasture</w:t>
      </w:r>
      <w:r w:rsidRPr="00A62B73">
        <w:rPr>
          <w:rFonts w:ascii="Times New Roman" w:hAnsi="Times New Roman" w:cs="Times New Roman"/>
          <w:b/>
          <w:color w:val="231F20"/>
          <w:sz w:val="24"/>
          <w:szCs w:val="24"/>
        </w:rPr>
        <w:t xml:space="preserve"> </w:t>
      </w:r>
      <w:bookmarkEnd w:id="0"/>
      <w:r w:rsidRPr="00A62B73">
        <w:rPr>
          <w:rFonts w:ascii="Times New Roman" w:eastAsia="Times New Roman" w:hAnsi="Times New Roman" w:cs="Times New Roman"/>
          <w:sz w:val="24"/>
          <w:szCs w:val="24"/>
          <w:lang w:val="en-US"/>
        </w:rPr>
        <w:t>during times of mineral stress induced by drought in Mogosane Village   of North West Province, South Africa</w:t>
      </w:r>
    </w:p>
    <w:p w:rsidR="00A62B73" w:rsidRPr="00A62B73" w:rsidRDefault="00A62B73" w:rsidP="00A62B73">
      <w:pPr>
        <w:autoSpaceDE w:val="0"/>
        <w:autoSpaceDN w:val="0"/>
        <w:adjustRightInd w:val="0"/>
        <w:spacing w:after="0" w:line="360" w:lineRule="auto"/>
        <w:jc w:val="both"/>
        <w:rPr>
          <w:rFonts w:ascii="Times New Roman" w:hAnsi="Times New Roman" w:cs="Times New Roman"/>
          <w:b/>
          <w:color w:val="231F20"/>
          <w:sz w:val="24"/>
          <w:szCs w:val="24"/>
        </w:rPr>
      </w:pPr>
    </w:p>
    <w:p w:rsidR="00A62B73" w:rsidRPr="00A62B73" w:rsidRDefault="00A62B73" w:rsidP="00A62B73">
      <w:pPr>
        <w:spacing w:after="200" w:line="480" w:lineRule="auto"/>
        <w:jc w:val="center"/>
        <w:rPr>
          <w:rFonts w:ascii="Times New Roman" w:eastAsia="Times New Roman" w:hAnsi="Times New Roman" w:cs="Times New Roman"/>
          <w:b/>
          <w:sz w:val="20"/>
          <w:szCs w:val="20"/>
          <w:lang w:val="en-US"/>
        </w:rPr>
      </w:pPr>
      <w:r w:rsidRPr="00A62B73">
        <w:rPr>
          <w:rFonts w:ascii="Times New Roman" w:eastAsia="Times New Roman" w:hAnsi="Times New Roman" w:cs="Times New Roman"/>
          <w:b/>
          <w:sz w:val="20"/>
          <w:szCs w:val="20"/>
          <w:lang w:val="en-US"/>
        </w:rPr>
        <w:t>B.G. Mokolopi</w:t>
      </w:r>
      <w:r w:rsidRPr="00A62B73">
        <w:rPr>
          <w:rFonts w:ascii="Times New Roman" w:eastAsia="Times New Roman" w:hAnsi="Times New Roman" w:cs="Times New Roman"/>
          <w:b/>
          <w:sz w:val="20"/>
          <w:szCs w:val="20"/>
          <w:vertAlign w:val="superscript"/>
          <w:lang w:val="en-US"/>
        </w:rPr>
        <w:t>1</w:t>
      </w:r>
      <w:r w:rsidRPr="00A62B73">
        <w:rPr>
          <w:rFonts w:ascii="Times New Roman" w:eastAsia="Times New Roman" w:hAnsi="Times New Roman" w:cs="Times New Roman"/>
          <w:b/>
          <w:sz w:val="20"/>
          <w:szCs w:val="20"/>
          <w:lang w:val="en-US"/>
        </w:rPr>
        <w:t>*</w:t>
      </w:r>
    </w:p>
    <w:p w:rsidR="00A62B73" w:rsidRPr="00A62B73" w:rsidRDefault="00A62B73" w:rsidP="00A62B73">
      <w:pPr>
        <w:spacing w:after="200" w:line="480" w:lineRule="auto"/>
        <w:jc w:val="both"/>
        <w:rPr>
          <w:rFonts w:ascii="Times New Roman" w:eastAsia="Times New Roman" w:hAnsi="Times New Roman" w:cs="Times New Roman"/>
          <w:i/>
          <w:lang w:val="en-US"/>
        </w:rPr>
      </w:pPr>
      <w:r w:rsidRPr="00A62B73">
        <w:rPr>
          <w:rFonts w:ascii="Times New Roman" w:eastAsia="Times New Roman" w:hAnsi="Times New Roman" w:cs="Times New Roman"/>
          <w:b/>
          <w:lang w:val="en-US"/>
        </w:rPr>
        <w:t>*</w:t>
      </w:r>
      <w:r w:rsidRPr="00A62B73">
        <w:rPr>
          <w:rFonts w:ascii="Times New Roman" w:eastAsia="Times New Roman" w:hAnsi="Times New Roman" w:cs="Times New Roman"/>
          <w:i/>
          <w:lang w:val="en-US"/>
        </w:rPr>
        <w:t>Department of Agriculture and Animal Health, College of Agriculture and Environmental Sciences, University of South Africa, Science Campus, Private Bag X6, Florida 1710, Johannesburg, South Africa.</w:t>
      </w:r>
    </w:p>
    <w:p w:rsidR="00A62B73" w:rsidRPr="00A62B73" w:rsidRDefault="00A62B73" w:rsidP="00A62B73">
      <w:pPr>
        <w:spacing w:after="200" w:line="480" w:lineRule="auto"/>
        <w:jc w:val="both"/>
        <w:rPr>
          <w:rFonts w:ascii="Times New Roman" w:eastAsia="Times New Roman" w:hAnsi="Times New Roman" w:cs="Times New Roman"/>
          <w:lang w:val="en-US"/>
        </w:rPr>
      </w:pPr>
      <w:r w:rsidRPr="00A62B73">
        <w:rPr>
          <w:rFonts w:ascii="Times New Roman" w:eastAsia="Times New Roman" w:hAnsi="Times New Roman" w:cs="Times New Roman"/>
          <w:lang w:val="en-US"/>
        </w:rPr>
        <w:t xml:space="preserve">*Corresponding author: e-mail: </w:t>
      </w:r>
      <w:hyperlink r:id="rId4">
        <w:r w:rsidRPr="00A62B73">
          <w:rPr>
            <w:rFonts w:ascii="Times New Roman" w:eastAsia="Times New Roman" w:hAnsi="Times New Roman" w:cs="Times New Roman"/>
            <w:color w:val="0000FF"/>
            <w:u w:val="single"/>
            <w:lang w:val="en-US"/>
          </w:rPr>
          <w:t>kgobebg@unisa.ac.za</w:t>
        </w:r>
      </w:hyperlink>
    </w:p>
    <w:p w:rsidR="00A62B73" w:rsidRPr="00A62B73" w:rsidRDefault="00A62B73" w:rsidP="00A62B73">
      <w:pPr>
        <w:spacing w:after="200" w:line="480" w:lineRule="auto"/>
        <w:jc w:val="both"/>
        <w:rPr>
          <w:rFonts w:ascii="Times New Roman" w:eastAsia="Times New Roman" w:hAnsi="Times New Roman" w:cs="Times New Roman"/>
          <w:lang w:val="en-US"/>
        </w:rPr>
      </w:pPr>
      <w:r w:rsidRPr="00A62B73">
        <w:rPr>
          <w:rFonts w:ascii="Times New Roman" w:eastAsia="Times New Roman" w:hAnsi="Times New Roman" w:cs="Times New Roman"/>
          <w:lang w:val="en-US"/>
        </w:rPr>
        <w:t>Phone number: +2711 471 3909/ +2778 066 5830</w:t>
      </w:r>
    </w:p>
    <w:p w:rsidR="00A62B73" w:rsidRPr="00A62B73" w:rsidRDefault="00A62B73" w:rsidP="00A62B73">
      <w:pPr>
        <w:spacing w:after="200" w:line="480" w:lineRule="auto"/>
        <w:jc w:val="both"/>
        <w:rPr>
          <w:rFonts w:ascii="Times New Roman" w:eastAsia="Times New Roman" w:hAnsi="Times New Roman" w:cs="Times New Roman"/>
          <w:lang w:val="en-US"/>
        </w:rPr>
      </w:pPr>
      <w:r w:rsidRPr="00A62B73">
        <w:rPr>
          <w:rFonts w:ascii="Times New Roman" w:eastAsia="Times New Roman" w:hAnsi="Times New Roman" w:cs="Times New Roman"/>
          <w:lang w:val="en-US"/>
        </w:rPr>
        <w:t>Fax number: +2711 471 2260</w:t>
      </w:r>
    </w:p>
    <w:p w:rsidR="00A62B73" w:rsidRPr="00A62B73" w:rsidRDefault="00A62B73" w:rsidP="00A62B73">
      <w:pPr>
        <w:autoSpaceDE w:val="0"/>
        <w:autoSpaceDN w:val="0"/>
        <w:adjustRightInd w:val="0"/>
        <w:spacing w:after="0" w:line="360" w:lineRule="auto"/>
        <w:jc w:val="both"/>
        <w:rPr>
          <w:rFonts w:ascii="Times New Roman" w:hAnsi="Times New Roman" w:cs="Times New Roman"/>
          <w:b/>
          <w:color w:val="231F20"/>
          <w:sz w:val="24"/>
          <w:szCs w:val="24"/>
        </w:rPr>
      </w:pPr>
    </w:p>
    <w:p w:rsidR="00A62B73" w:rsidRPr="00A62B73" w:rsidRDefault="00A62B73" w:rsidP="00A62B73">
      <w:pPr>
        <w:autoSpaceDE w:val="0"/>
        <w:autoSpaceDN w:val="0"/>
        <w:adjustRightInd w:val="0"/>
        <w:spacing w:after="0" w:line="360" w:lineRule="auto"/>
        <w:jc w:val="both"/>
        <w:rPr>
          <w:rFonts w:ascii="Times New Roman" w:hAnsi="Times New Roman" w:cs="Times New Roman"/>
          <w:b/>
          <w:color w:val="231F20"/>
          <w:sz w:val="24"/>
          <w:szCs w:val="24"/>
        </w:rPr>
      </w:pPr>
    </w:p>
    <w:p w:rsidR="00A62B73" w:rsidRPr="00A62B73" w:rsidRDefault="00A62B73" w:rsidP="00A62B73">
      <w:pPr>
        <w:autoSpaceDE w:val="0"/>
        <w:autoSpaceDN w:val="0"/>
        <w:adjustRightInd w:val="0"/>
        <w:spacing w:after="0" w:line="360" w:lineRule="auto"/>
        <w:jc w:val="both"/>
        <w:rPr>
          <w:rFonts w:ascii="Times New Roman" w:hAnsi="Times New Roman" w:cs="Times New Roman"/>
          <w:b/>
          <w:color w:val="231F20"/>
          <w:sz w:val="24"/>
          <w:szCs w:val="24"/>
        </w:rPr>
      </w:pPr>
      <w:r w:rsidRPr="00A62B73">
        <w:rPr>
          <w:rFonts w:ascii="Times New Roman" w:hAnsi="Times New Roman" w:cs="Times New Roman"/>
          <w:b/>
          <w:color w:val="231F20"/>
          <w:sz w:val="24"/>
          <w:szCs w:val="24"/>
        </w:rPr>
        <w:t>Abstract</w:t>
      </w:r>
    </w:p>
    <w:p w:rsidR="00A62B73" w:rsidRPr="00A62B73" w:rsidRDefault="00A62B73" w:rsidP="00A62B73">
      <w:pPr>
        <w:autoSpaceDE w:val="0"/>
        <w:autoSpaceDN w:val="0"/>
        <w:adjustRightInd w:val="0"/>
        <w:spacing w:after="0" w:line="360" w:lineRule="auto"/>
        <w:jc w:val="both"/>
        <w:rPr>
          <w:rFonts w:ascii="Times New Roman" w:hAnsi="Times New Roman" w:cs="Times New Roman"/>
          <w:color w:val="231F20"/>
          <w:sz w:val="24"/>
          <w:szCs w:val="24"/>
        </w:rPr>
      </w:pPr>
    </w:p>
    <w:p w:rsidR="00405FD4" w:rsidRDefault="0098703A" w:rsidP="00405FD4">
      <w:pPr>
        <w:spacing w:line="360" w:lineRule="auto"/>
        <w:jc w:val="both"/>
        <w:rPr>
          <w:rFonts w:ascii="Times New Roman" w:eastAsia="Times New Roman" w:hAnsi="Times New Roman" w:cs="Times New Roman"/>
          <w:sz w:val="24"/>
          <w:szCs w:val="24"/>
          <w:lang w:val="en-US"/>
        </w:rPr>
      </w:pPr>
      <w:bookmarkStart w:id="1" w:name="_Hlk1031310"/>
      <w:r>
        <w:rPr>
          <w:rFonts w:ascii="Times New Roman" w:eastAsia="Times New Roman" w:hAnsi="Times New Roman" w:cs="Times New Roman"/>
          <w:sz w:val="24"/>
          <w:szCs w:val="24"/>
          <w:lang w:val="en-US"/>
        </w:rPr>
        <w:t>Bone consists of calcium (Ca)</w:t>
      </w:r>
      <w:r w:rsidR="00A62B73" w:rsidRPr="00A62B73">
        <w:rPr>
          <w:rFonts w:ascii="Times New Roman" w:eastAsia="Times New Roman" w:hAnsi="Times New Roman" w:cs="Times New Roman"/>
          <w:sz w:val="24"/>
          <w:szCs w:val="24"/>
          <w:lang w:val="en-US"/>
        </w:rPr>
        <w:t xml:space="preserve"> and </w:t>
      </w:r>
      <w:r>
        <w:rPr>
          <w:rFonts w:ascii="Times New Roman" w:eastAsia="Times New Roman" w:hAnsi="Times New Roman" w:cs="Times New Roman"/>
          <w:sz w:val="24"/>
          <w:szCs w:val="24"/>
          <w:lang w:val="en-US"/>
        </w:rPr>
        <w:t>phosphorus (</w:t>
      </w:r>
      <w:r w:rsidR="00A62B73" w:rsidRPr="00A62B73">
        <w:rPr>
          <w:rFonts w:ascii="Times New Roman" w:eastAsia="Times New Roman" w:hAnsi="Times New Roman" w:cs="Times New Roman"/>
          <w:sz w:val="24"/>
          <w:szCs w:val="24"/>
          <w:lang w:val="en-US"/>
        </w:rPr>
        <w:t>P</w:t>
      </w:r>
      <w:r>
        <w:rPr>
          <w:rFonts w:ascii="Times New Roman" w:eastAsia="Times New Roman" w:hAnsi="Times New Roman" w:cs="Times New Roman"/>
          <w:sz w:val="24"/>
          <w:szCs w:val="24"/>
          <w:lang w:val="en-US"/>
        </w:rPr>
        <w:t>)</w:t>
      </w:r>
      <w:r w:rsidR="00A62B73" w:rsidRPr="00A62B73">
        <w:rPr>
          <w:rFonts w:ascii="Times New Roman" w:eastAsia="Times New Roman" w:hAnsi="Times New Roman" w:cs="Times New Roman"/>
          <w:sz w:val="24"/>
          <w:szCs w:val="24"/>
          <w:lang w:val="en-US"/>
        </w:rPr>
        <w:t xml:space="preserve"> deposited within an organic collagen matrix.  The highly porous nature of this matrix provides bone with an extensive surface area, making bone a highly labile source of both Ca and P and it serves as a metabolic reservoir for Ca, P and other minerals.</w:t>
      </w:r>
      <w:r w:rsidR="00A62B73" w:rsidRPr="00A62B73">
        <w:rPr>
          <w:rFonts w:ascii="Times New Roman" w:eastAsia="Times New Roman" w:hAnsi="Times New Roman" w:cs="Times New Roman"/>
          <w:color w:val="5B9BD5" w:themeColor="accent5"/>
          <w:sz w:val="24"/>
          <w:szCs w:val="24"/>
        </w:rPr>
        <w:t xml:space="preserve"> </w:t>
      </w:r>
      <w:r w:rsidR="00A62B73" w:rsidRPr="00A62B73">
        <w:rPr>
          <w:rFonts w:ascii="Times New Roman" w:eastAsia="Times New Roman" w:hAnsi="Times New Roman" w:cs="Times New Roman"/>
          <w:color w:val="000000" w:themeColor="text1"/>
          <w:sz w:val="24"/>
          <w:szCs w:val="24"/>
        </w:rPr>
        <w:t>Furthermore, a</w:t>
      </w:r>
      <w:r>
        <w:rPr>
          <w:rFonts w:ascii="Times New Roman" w:eastAsia="Times New Roman" w:hAnsi="Times New Roman" w:cs="Times New Roman"/>
          <w:color w:val="000000" w:themeColor="text1"/>
          <w:sz w:val="24"/>
          <w:szCs w:val="24"/>
        </w:rPr>
        <w:t>s the P</w:t>
      </w:r>
      <w:r w:rsidR="00A62B73" w:rsidRPr="00A62B73">
        <w:rPr>
          <w:rFonts w:ascii="Times New Roman" w:eastAsia="Times New Roman" w:hAnsi="Times New Roman" w:cs="Times New Roman"/>
          <w:color w:val="000000" w:themeColor="text1"/>
          <w:sz w:val="24"/>
          <w:szCs w:val="24"/>
        </w:rPr>
        <w:t xml:space="preserve"> in the skeleton provides a large reserve, which may be mobilized when the diet is deficient in phosphorus, the measurement of bone minerals is important to evaluate P status</w:t>
      </w:r>
      <w:r w:rsidR="00A62B73" w:rsidRPr="00A62B73">
        <w:rPr>
          <w:rFonts w:ascii="Times New Roman" w:eastAsia="Times New Roman" w:hAnsi="Times New Roman" w:cs="Times New Roman"/>
          <w:color w:val="000000" w:themeColor="text1"/>
          <w:sz w:val="24"/>
          <w:szCs w:val="24"/>
          <w:lang w:val="en-US"/>
        </w:rPr>
        <w:t xml:space="preserve">. </w:t>
      </w:r>
      <w:r w:rsidR="00A62B73" w:rsidRPr="00A62B73">
        <w:rPr>
          <w:rFonts w:ascii="Times New Roman" w:hAnsi="Times New Roman" w:cs="Times New Roman"/>
          <w:color w:val="231F20"/>
          <w:sz w:val="24"/>
          <w:szCs w:val="24"/>
        </w:rPr>
        <w:t xml:space="preserve">Ten male mix breed cattle between the ages of 6 and 12 months therefore, were randomly selected from a herd feeding exclusively on communal grazing and were used to determine the role of bone </w:t>
      </w:r>
      <w:r>
        <w:rPr>
          <w:rFonts w:ascii="Times New Roman" w:eastAsia="Times New Roman" w:hAnsi="Times New Roman" w:cs="Times New Roman"/>
          <w:sz w:val="24"/>
          <w:szCs w:val="24"/>
          <w:lang w:val="en-US"/>
        </w:rPr>
        <w:t>phosphorus, calcium</w:t>
      </w:r>
      <w:r w:rsidR="00A62B73" w:rsidRPr="00A62B73">
        <w:rPr>
          <w:rFonts w:ascii="Times New Roman" w:eastAsia="Times New Roman" w:hAnsi="Times New Roman" w:cs="Times New Roman"/>
          <w:sz w:val="24"/>
          <w:szCs w:val="24"/>
          <w:lang w:val="en-US"/>
        </w:rPr>
        <w:t xml:space="preserve"> and magnesium</w:t>
      </w:r>
      <w:r>
        <w:rPr>
          <w:rFonts w:ascii="Times New Roman" w:eastAsia="Times New Roman" w:hAnsi="Times New Roman" w:cs="Times New Roman"/>
          <w:sz w:val="24"/>
          <w:szCs w:val="24"/>
          <w:lang w:val="en-US"/>
        </w:rPr>
        <w:t xml:space="preserve"> </w:t>
      </w:r>
      <w:r w:rsidR="00A62B73" w:rsidRPr="00A62B73">
        <w:rPr>
          <w:rFonts w:ascii="Times New Roman" w:eastAsia="Times New Roman" w:hAnsi="Times New Roman" w:cs="Times New Roman"/>
          <w:sz w:val="24"/>
          <w:szCs w:val="24"/>
          <w:lang w:val="en-US"/>
        </w:rPr>
        <w:t xml:space="preserve">on bone reserves in cattle grazing natural pasture. </w:t>
      </w:r>
      <w:r w:rsidR="00A62B73">
        <w:rPr>
          <w:rFonts w:ascii="Times New Roman" w:eastAsia="Times New Roman" w:hAnsi="Times New Roman" w:cs="Times New Roman"/>
          <w:sz w:val="24"/>
          <w:szCs w:val="24"/>
          <w:lang w:val="en-US"/>
        </w:rPr>
        <w:t>Bone samples were collected using rib biopsy</w:t>
      </w:r>
      <w:r w:rsidR="00A62B73" w:rsidRPr="00A62B73">
        <w:rPr>
          <w:rFonts w:ascii="Times New Roman" w:eastAsia="Times New Roman" w:hAnsi="Times New Roman" w:cs="Times New Roman"/>
          <w:sz w:val="24"/>
          <w:szCs w:val="24"/>
          <w:lang w:val="en-US"/>
        </w:rPr>
        <w:t>. Bone thickness was measured in mm using caliper. The volume of the bone samples was calculated from the difference of the air weight and the water weight and</w:t>
      </w:r>
      <w:r>
        <w:rPr>
          <w:rFonts w:ascii="Times New Roman" w:eastAsia="Times New Roman" w:hAnsi="Times New Roman" w:cs="Times New Roman"/>
          <w:sz w:val="24"/>
          <w:szCs w:val="24"/>
          <w:lang w:val="en-US"/>
        </w:rPr>
        <w:t>,</w:t>
      </w:r>
      <w:r w:rsidR="00A62B73" w:rsidRPr="00A62B73">
        <w:rPr>
          <w:rFonts w:ascii="Times New Roman" w:eastAsia="Times New Roman" w:hAnsi="Times New Roman" w:cs="Times New Roman"/>
          <w:sz w:val="24"/>
          <w:szCs w:val="24"/>
          <w:lang w:val="en-US"/>
        </w:rPr>
        <w:t xml:space="preserve"> air weight divided by the volume was recorded as the </w:t>
      </w:r>
      <w:r>
        <w:rPr>
          <w:rFonts w:ascii="Times New Roman" w:eastAsia="Times New Roman" w:hAnsi="Times New Roman" w:cs="Times New Roman"/>
          <w:sz w:val="24"/>
          <w:szCs w:val="24"/>
          <w:lang w:val="en-US"/>
        </w:rPr>
        <w:t>bone specific gravity</w:t>
      </w:r>
      <w:r w:rsidR="00A62B73" w:rsidRPr="00A62B73">
        <w:rPr>
          <w:rFonts w:ascii="Times New Roman" w:eastAsia="Times New Roman" w:hAnsi="Times New Roman" w:cs="Times New Roman"/>
          <w:sz w:val="24"/>
          <w:szCs w:val="24"/>
          <w:lang w:val="en-US"/>
        </w:rPr>
        <w:t>. Bone P and Ca concentration reacted oppositely from May ’06 until November’ 06 and the concentration increased from November’ 06 to January’ 07 and reacted oppositely</w:t>
      </w:r>
      <w:r>
        <w:rPr>
          <w:rFonts w:ascii="Times New Roman" w:eastAsia="Times New Roman" w:hAnsi="Times New Roman" w:cs="Times New Roman"/>
          <w:sz w:val="24"/>
          <w:szCs w:val="24"/>
          <w:lang w:val="en-US"/>
        </w:rPr>
        <w:t xml:space="preserve"> from January’ 07 to March’ 07.</w:t>
      </w:r>
      <w:r w:rsidR="00A62B73" w:rsidRPr="00A62B73">
        <w:rPr>
          <w:rFonts w:ascii="Times New Roman" w:eastAsia="Times New Roman" w:hAnsi="Times New Roman" w:cs="Times New Roman"/>
          <w:sz w:val="24"/>
          <w:szCs w:val="24"/>
          <w:lang w:val="en-US"/>
        </w:rPr>
        <w:t xml:space="preserve"> Bone Mg concentration fluctuated from June ’06 until the end of the trial.  Animals in March’ 07 had the highest value of bone </w:t>
      </w:r>
      <w:r w:rsidR="00A62B73" w:rsidRPr="00A62B73">
        <w:rPr>
          <w:rFonts w:ascii="Times New Roman" w:eastAsia="Times New Roman" w:hAnsi="Times New Roman" w:cs="Times New Roman"/>
          <w:sz w:val="24"/>
          <w:szCs w:val="24"/>
          <w:lang w:val="en-US"/>
        </w:rPr>
        <w:lastRenderedPageBreak/>
        <w:t xml:space="preserve">Ca concentration (598.81 mg/g) and had the lowest values of bone P concentration (120.06 mg/g) and bone Mg concentration (1.83 mg/g). </w:t>
      </w:r>
      <w:r w:rsidR="00EE66C7" w:rsidRPr="00EE66C7">
        <w:rPr>
          <w:rFonts w:ascii="Times New Roman" w:eastAsia="Times New Roman" w:hAnsi="Times New Roman" w:cs="Times New Roman"/>
          <w:sz w:val="24"/>
          <w:szCs w:val="24"/>
          <w:lang w:val="en-US"/>
        </w:rPr>
        <w:t>This indicates that the animals were trying very hard to maintain mineral homeostatic mechanism in the body</w:t>
      </w:r>
      <w:r w:rsidR="00EE66C7" w:rsidRPr="00EE66C7">
        <w:rPr>
          <w:rFonts w:ascii="Times New Roman" w:eastAsia="Times New Roman" w:hAnsi="Times New Roman" w:cs="Times New Roman"/>
          <w:color w:val="000000"/>
          <w:sz w:val="24"/>
          <w:szCs w:val="24"/>
          <w:lang w:val="en-US"/>
        </w:rPr>
        <w:t>.</w:t>
      </w:r>
      <w:r w:rsidR="00EE66C7" w:rsidRPr="00EE66C7">
        <w:rPr>
          <w:rFonts w:ascii="Times New Roman" w:eastAsia="Times New Roman" w:hAnsi="Times New Roman" w:cs="Times New Roman"/>
          <w:color w:val="FF0000"/>
          <w:sz w:val="24"/>
          <w:szCs w:val="24"/>
          <w:lang w:val="en-US"/>
        </w:rPr>
        <w:t xml:space="preserve">  </w:t>
      </w:r>
      <w:r w:rsidR="00EE66C7" w:rsidRPr="00EE66C7">
        <w:rPr>
          <w:rFonts w:ascii="Times New Roman" w:eastAsia="Times New Roman" w:hAnsi="Times New Roman" w:cs="Times New Roman"/>
          <w:color w:val="000000" w:themeColor="text1"/>
          <w:sz w:val="24"/>
          <w:szCs w:val="24"/>
          <w:lang w:val="en-US"/>
        </w:rPr>
        <w:t>Also, the study indicates</w:t>
      </w:r>
      <w:r w:rsidR="00EE66C7" w:rsidRPr="00EE66C7">
        <w:rPr>
          <w:rFonts w:ascii="Times New Roman" w:eastAsia="Times New Roman" w:hAnsi="Times New Roman" w:cs="Times New Roman"/>
          <w:color w:val="000000"/>
          <w:sz w:val="24"/>
          <w:szCs w:val="24"/>
          <w:lang w:val="en-US"/>
        </w:rPr>
        <w:t xml:space="preserve"> possible tendency for the animals to use their homeostatic mechanisms to increase bone thickness when bone specific gravity was declining and to increase bone specific gravity when bone thickness was declining.</w:t>
      </w:r>
      <w:r w:rsidR="00EE66C7" w:rsidRPr="00EE66C7">
        <w:rPr>
          <w:rFonts w:ascii="Times New Roman" w:eastAsia="Times New Roman" w:hAnsi="Times New Roman" w:cs="Times New Roman"/>
          <w:sz w:val="28"/>
          <w:szCs w:val="28"/>
          <w:lang w:val="en-US"/>
        </w:rPr>
        <w:t xml:space="preserve"> </w:t>
      </w:r>
      <w:r w:rsidR="00EE66C7" w:rsidRPr="00EE66C7">
        <w:rPr>
          <w:rFonts w:ascii="Times New Roman" w:eastAsia="Times New Roman" w:hAnsi="Times New Roman" w:cs="Times New Roman"/>
          <w:sz w:val="24"/>
          <w:szCs w:val="24"/>
          <w:lang w:val="en-US"/>
        </w:rPr>
        <w:t>Further research is therefore needed to verify these results and further investigate the ability of the bovine to store P in bone during times of drought and P deficient pastures.</w:t>
      </w:r>
    </w:p>
    <w:p w:rsidR="00405FD4" w:rsidRPr="00405FD4" w:rsidRDefault="00405FD4" w:rsidP="00405FD4">
      <w:pPr>
        <w:spacing w:line="360" w:lineRule="auto"/>
        <w:jc w:val="both"/>
        <w:rPr>
          <w:rFonts w:ascii="Times New Roman" w:eastAsia="Times New Roman" w:hAnsi="Times New Roman" w:cs="Times New Roman"/>
          <w:sz w:val="24"/>
          <w:szCs w:val="24"/>
          <w:lang w:val="en-US"/>
        </w:rPr>
      </w:pPr>
      <w:bookmarkStart w:id="2" w:name="_GoBack"/>
      <w:bookmarkEnd w:id="2"/>
      <w:r w:rsidRPr="00405FD4">
        <w:rPr>
          <w:rFonts w:ascii="Times New Roman" w:eastAsia="Times New Roman" w:hAnsi="Times New Roman" w:cs="Times New Roman"/>
          <w:b/>
          <w:i/>
          <w:sz w:val="24"/>
          <w:szCs w:val="24"/>
          <w:lang w:val="en-US"/>
        </w:rPr>
        <w:t>Keywords: bone volume, bone specific gravity, bone thickness</w:t>
      </w:r>
    </w:p>
    <w:p w:rsidR="00A62B73" w:rsidRPr="00A62B73" w:rsidRDefault="00A62B73" w:rsidP="00A62B73">
      <w:pPr>
        <w:spacing w:after="0" w:line="360" w:lineRule="auto"/>
        <w:jc w:val="both"/>
        <w:rPr>
          <w:rFonts w:ascii="Times New Roman" w:eastAsia="Times New Roman" w:hAnsi="Times New Roman" w:cs="Times New Roman"/>
          <w:b/>
          <w:sz w:val="24"/>
          <w:szCs w:val="24"/>
          <w:lang w:val="en-US"/>
        </w:rPr>
      </w:pPr>
    </w:p>
    <w:p w:rsidR="00A62B73" w:rsidRPr="00A62B73" w:rsidRDefault="00A62B73" w:rsidP="00A62B73">
      <w:pPr>
        <w:tabs>
          <w:tab w:val="left" w:pos="6930"/>
        </w:tabs>
        <w:spacing w:after="0" w:line="360" w:lineRule="auto"/>
        <w:jc w:val="both"/>
        <w:rPr>
          <w:rFonts w:ascii="Times New Roman" w:eastAsia="Times New Roman" w:hAnsi="Times New Roman" w:cs="Times New Roman"/>
          <w:b/>
          <w:sz w:val="24"/>
          <w:szCs w:val="24"/>
          <w:lang w:val="en-US"/>
        </w:rPr>
      </w:pPr>
    </w:p>
    <w:bookmarkEnd w:id="1"/>
    <w:p w:rsidR="00A62B73" w:rsidRPr="00A62B73" w:rsidRDefault="00A62B73" w:rsidP="00A62B73">
      <w:pPr>
        <w:spacing w:after="0" w:line="360" w:lineRule="auto"/>
        <w:jc w:val="both"/>
        <w:rPr>
          <w:rFonts w:ascii="Times New Roman" w:eastAsia="Times New Roman" w:hAnsi="Times New Roman" w:cs="Times New Roman"/>
          <w:color w:val="FF0000"/>
          <w:sz w:val="24"/>
          <w:szCs w:val="24"/>
          <w:lang w:val="en-US"/>
        </w:rPr>
      </w:pPr>
      <w:r w:rsidRPr="00A62B73">
        <w:rPr>
          <w:rFonts w:ascii="Times New Roman" w:eastAsia="Times New Roman" w:hAnsi="Times New Roman" w:cs="Times New Roman"/>
          <w:color w:val="FF0000"/>
          <w:sz w:val="24"/>
          <w:szCs w:val="24"/>
          <w:lang w:val="en-US"/>
        </w:rPr>
        <w:t xml:space="preserve"> </w:t>
      </w:r>
    </w:p>
    <w:p w:rsidR="004B28D5" w:rsidRDefault="004B28D5"/>
    <w:sectPr w:rsidR="004B28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B73"/>
    <w:rsid w:val="00405FD4"/>
    <w:rsid w:val="004B28D5"/>
    <w:rsid w:val="00926CBA"/>
    <w:rsid w:val="0098703A"/>
    <w:rsid w:val="00A62B73"/>
    <w:rsid w:val="00EE66C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BB28A"/>
  <w15:chartTrackingRefBased/>
  <w15:docId w15:val="{7BF1E0F6-EF68-469B-9958-F40AB18BB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gobebg@unisa.a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406</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Mokolopi, Baitsholetsi</dc:creator>
  <cp:keywords/>
  <dc:description/>
  <cp:lastModifiedBy>Mokolopi, Baitsholetsi</cp:lastModifiedBy>
  <cp:revision>3</cp:revision>
  <dcterms:created xsi:type="dcterms:W3CDTF">2019-02-20T12:44:00Z</dcterms:created>
  <dcterms:modified xsi:type="dcterms:W3CDTF">2019-02-20T12:45:00Z</dcterms:modified>
</cp:coreProperties>
</file>