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  <w:r>
        <w:rPr>
          <w:rFonts w:ascii="Times New Roman" w:cs="Times New Roman" w:hAnsi="Times New Roman"/>
          <w:b/>
          <w:kern w:val="2"/>
        </w:rPr>
        <w:t xml:space="preserve">Research </w:t>
      </w:r>
      <w:r>
        <w:rPr>
          <w:rFonts w:ascii="Times New Roman" w:cs="Times New Roman" w:hAnsi="Times New Roman"/>
          <w:b/>
          <w:kern w:val="2"/>
        </w:rPr>
        <w:t>Theme:</w:t>
      </w:r>
      <w:r>
        <w:rPr>
          <w:rFonts w:ascii="Times New Roman" w:cs="Times New Roman" w:hAnsi="Times New Roman"/>
          <w:kern w:val="2"/>
        </w:rPr>
        <w:t xml:space="preserve"> </w:t>
      </w:r>
      <w:r>
        <w:rPr>
          <w:rFonts w:ascii="Times New Roman" w:cs="Times New Roman" w:hAnsi="Times New Roman"/>
          <w:kern w:val="2"/>
          <w:lang w:val="en-US"/>
        </w:rPr>
        <w:t xml:space="preserve">Veterinary pharmacology and toxicology 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  <w:r>
        <w:rPr>
          <w:rFonts w:ascii="Times New Roman" w:cs="Times New Roman" w:hAnsi="Times New Roman"/>
          <w:b/>
          <w:kern w:val="2"/>
        </w:rPr>
        <w:t>Mode of delivery:</w:t>
      </w:r>
      <w:r>
        <w:rPr>
          <w:rFonts w:ascii="Times New Roman" w:cs="Times New Roman" w:hAnsi="Times New Roman"/>
          <w:kern w:val="2"/>
        </w:rPr>
        <w:t xml:space="preserve"> </w:t>
      </w:r>
      <w:r>
        <w:rPr>
          <w:rFonts w:ascii="Times New Roman" w:cs="Times New Roman" w:hAnsi="Times New Roman"/>
          <w:kern w:val="2"/>
          <w:lang w:val="en-US"/>
        </w:rPr>
        <w:t xml:space="preserve">Oral Presentation 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b/>
          <w:kern w:val="2"/>
        </w:rPr>
      </w:pPr>
    </w:p>
    <w:p>
      <w:pPr>
        <w:pStyle w:val="style0"/>
        <w:jc w:val="both"/>
        <w:rPr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Effects of feed supplementation with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phytobiotics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during the finishing phase on performance, organ and carcass characteristics of broilers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US"/>
        </w:rPr>
        <w:t>.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  <w:r>
        <w:rPr>
          <w:rFonts w:ascii="Times New Roman" w:cs="Times New Roman" w:hAnsi="Times New Roman"/>
          <w:kern w:val="2"/>
          <w:u w:val="single"/>
        </w:rPr>
        <w:t xml:space="preserve">Arthur </w:t>
      </w:r>
      <w:r>
        <w:rPr>
          <w:rFonts w:ascii="Times New Roman" w:cs="Times New Roman" w:hAnsi="Times New Roman"/>
          <w:kern w:val="2"/>
          <w:u w:val="single"/>
        </w:rPr>
        <w:t>Zoraunye</w:t>
      </w:r>
      <w:r>
        <w:rPr>
          <w:rFonts w:ascii="Times New Roman" w:cs="Times New Roman" w:hAnsi="Times New Roman"/>
          <w:kern w:val="2"/>
          <w:u w:val="single"/>
        </w:rPr>
        <w:t xml:space="preserve">, </w:t>
      </w:r>
      <w:r>
        <w:rPr>
          <w:rFonts w:ascii="Times New Roman" w:cs="Times New Roman" w:hAnsi="Times New Roman"/>
          <w:kern w:val="2"/>
        </w:rPr>
        <w:t xml:space="preserve">Nation </w:t>
      </w:r>
      <w:r>
        <w:rPr>
          <w:rFonts w:ascii="Times New Roman" w:cs="Times New Roman" w:hAnsi="Times New Roman"/>
          <w:kern w:val="2"/>
        </w:rPr>
        <w:t>Chikumba</w:t>
      </w:r>
      <w:r>
        <w:rPr>
          <w:rFonts w:ascii="Times New Roman" w:cs="Times New Roman" w:hAnsi="Times New Roman"/>
          <w:kern w:val="2"/>
        </w:rPr>
        <w:t xml:space="preserve">, </w:t>
      </w:r>
      <w:r>
        <w:rPr>
          <w:rFonts w:ascii="Times New Roman" w:cs="Times New Roman" w:hAnsi="Times New Roman"/>
          <w:kern w:val="2"/>
        </w:rPr>
        <w:t xml:space="preserve">Pamela </w:t>
      </w:r>
      <w:r>
        <w:rPr>
          <w:rFonts w:ascii="Times New Roman" w:cs="Times New Roman" w:hAnsi="Times New Roman"/>
          <w:kern w:val="2"/>
        </w:rPr>
        <w:t>Zvinavashe</w:t>
      </w:r>
      <w:r>
        <w:rPr>
          <w:rFonts w:ascii="Times New Roman" w:cs="Times New Roman" w:hAnsi="Times New Roman"/>
          <w:kern w:val="2"/>
        </w:rPr>
        <w:t xml:space="preserve"> and Walter </w:t>
      </w:r>
      <w:r>
        <w:rPr>
          <w:rFonts w:ascii="Times New Roman" w:cs="Times New Roman" w:hAnsi="Times New Roman"/>
          <w:kern w:val="2"/>
        </w:rPr>
        <w:t>Svinurai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</w:p>
    <w:p>
      <w:pPr>
        <w:pStyle w:val="style157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Corresponding Author: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Arthur </w:t>
      </w:r>
      <w:r>
        <w:rPr>
          <w:rFonts w:ascii="Times New Roman" w:hAnsi="Times New Roman"/>
          <w:sz w:val="24"/>
          <w:szCs w:val="24"/>
        </w:rPr>
        <w:t>Zoraunye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University of Zimbabwe</w:t>
      </w:r>
    </w:p>
    <w:p>
      <w:pPr>
        <w:pStyle w:val="style15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E-mail: </w:t>
      </w:r>
      <w:r>
        <w:rPr>
          <w:rFonts w:ascii="Times New Roman" w:hAnsi="Times New Roman"/>
          <w:sz w:val="24"/>
          <w:szCs w:val="24"/>
        </w:rPr>
        <w:t>azoraunye@gmail.com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kern w:val="2"/>
        </w:rPr>
      </w:pP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b/>
          <w:kern w:val="2"/>
        </w:rPr>
      </w:pPr>
      <w:r>
        <w:rPr>
          <w:rFonts w:ascii="Times New Roman" w:cs="Times New Roman" w:hAnsi="Times New Roman"/>
          <w:b/>
          <w:kern w:val="2"/>
        </w:rPr>
        <w:t>Abstract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Phytobiotics</w:t>
      </w:r>
      <w:r>
        <w:rPr>
          <w:rFonts w:ascii="Times New Roman" w:cs="Times New Roman" w:hAnsi="Times New Roman"/>
          <w:sz w:val="24"/>
          <w:szCs w:val="24"/>
        </w:rPr>
        <w:t xml:space="preserve"> have the potential to circumvent microbial antibiotic resistance in poultry among other benefits.</w:t>
      </w:r>
      <w:r>
        <w:rPr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 study was conducted to evaluate the performance of broilers </w:t>
      </w:r>
      <w:r>
        <w:rPr>
          <w:rFonts w:ascii="Times New Roman" w:cs="Times New Roman" w:hAnsi="Times New Roman"/>
          <w:sz w:val="24"/>
          <w:szCs w:val="24"/>
        </w:rPr>
        <w:t xml:space="preserve">supplemented </w:t>
      </w:r>
      <w:r>
        <w:rPr>
          <w:rFonts w:ascii="Times New Roman" w:cs="Times New Roman" w:hAnsi="Times New Roman"/>
          <w:sz w:val="24"/>
          <w:szCs w:val="24"/>
        </w:rPr>
        <w:t>with coriander, rosemary and ginger herbs. Sixty- nine (</w:t>
      </w:r>
      <w:r>
        <w:rPr>
          <w:rFonts w:ascii="Times New Roman" w:cs="Times New Roman" w:hAnsi="Times New Roman"/>
          <w:sz w:val="24"/>
          <w:szCs w:val="24"/>
        </w:rPr>
        <w:t>Fivet</w:t>
      </w:r>
      <w:r>
        <w:rPr>
          <w:rFonts w:ascii="Times New Roman" w:cs="Times New Roman" w:hAnsi="Times New Roman"/>
          <w:sz w:val="24"/>
          <w:szCs w:val="24"/>
        </w:rPr>
        <w:t xml:space="preserve">) birds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were three weeks old with an initial average weight of ± 1041g per bird were randomly assigned to four treatments in a randomized complete design. Treatments were replicated three times with six birds per replicate in all herbal supplemented diets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treatments were </w:t>
      </w:r>
      <w:r>
        <w:rPr>
          <w:rFonts w:ascii="Times New Roman" w:cs="Times New Roman" w:hAnsi="Times New Roman"/>
          <w:sz w:val="24"/>
          <w:szCs w:val="24"/>
        </w:rPr>
        <w:t>broiler diet supplemented with coriander at 2%, rosemary at 1.5% and ginger at 0.5 %</w:t>
      </w:r>
      <w:r>
        <w:rPr>
          <w:rFonts w:ascii="Times New Roman" w:cs="Times New Roman" w:hAnsi="Times New Roman"/>
          <w:sz w:val="24"/>
          <w:szCs w:val="24"/>
        </w:rPr>
        <w:t xml:space="preserve"> and broiler </w:t>
      </w:r>
      <w:r>
        <w:rPr>
          <w:rFonts w:ascii="Times New Roman" w:cs="Times New Roman" w:hAnsi="Times New Roman"/>
          <w:sz w:val="24"/>
          <w:szCs w:val="24"/>
        </w:rPr>
        <w:t>pelllets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Parameters </w:t>
      </w:r>
      <w:r>
        <w:rPr>
          <w:rFonts w:ascii="Times New Roman" w:cs="Times New Roman" w:hAnsi="Times New Roman"/>
          <w:sz w:val="24"/>
          <w:szCs w:val="24"/>
        </w:rPr>
        <w:t>measured</w:t>
      </w:r>
      <w:r>
        <w:rPr>
          <w:rFonts w:ascii="Times New Roman" w:cs="Times New Roman" w:hAnsi="Times New Roman"/>
          <w:sz w:val="24"/>
          <w:szCs w:val="24"/>
        </w:rPr>
        <w:t xml:space="preserve"> include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average daily gain</w:t>
      </w:r>
      <w:r>
        <w:rPr>
          <w:rFonts w:ascii="Times New Roman" w:cs="Times New Roman" w:hAnsi="Times New Roman"/>
          <w:sz w:val="24"/>
          <w:szCs w:val="24"/>
        </w:rPr>
        <w:t xml:space="preserve"> (ADG)</w:t>
      </w:r>
      <w:r>
        <w:rPr>
          <w:rFonts w:ascii="Times New Roman" w:cs="Times New Roman" w:hAnsi="Times New Roman"/>
          <w:sz w:val="24"/>
          <w:szCs w:val="24"/>
        </w:rPr>
        <w:t>, average daily feed intake</w:t>
      </w:r>
      <w:r>
        <w:rPr>
          <w:rFonts w:ascii="Times New Roman" w:cs="Times New Roman" w:hAnsi="Times New Roman"/>
          <w:sz w:val="24"/>
          <w:szCs w:val="24"/>
        </w:rPr>
        <w:t xml:space="preserve"> (ADFI)</w:t>
      </w:r>
      <w:r>
        <w:rPr>
          <w:rFonts w:ascii="Times New Roman" w:cs="Times New Roman" w:hAnsi="Times New Roman"/>
          <w:sz w:val="24"/>
          <w:szCs w:val="24"/>
        </w:rPr>
        <w:t>, average daily water intake</w:t>
      </w:r>
      <w:r>
        <w:rPr>
          <w:rFonts w:ascii="Times New Roman" w:cs="Times New Roman" w:hAnsi="Times New Roman"/>
          <w:sz w:val="24"/>
          <w:szCs w:val="24"/>
        </w:rPr>
        <w:t xml:space="preserve"> (ADWI)</w:t>
      </w:r>
      <w:r>
        <w:rPr>
          <w:rFonts w:ascii="Times New Roman" w:cs="Times New Roman" w:hAnsi="Times New Roman"/>
          <w:sz w:val="24"/>
          <w:szCs w:val="24"/>
        </w:rPr>
        <w:t>, feed conversion ratio (FCR),</w:t>
      </w:r>
      <w:r>
        <w:rPr>
          <w:rFonts w:ascii="Times New Roman" w:cs="Times New Roman" w:hAnsi="Times New Roman"/>
          <w:sz w:val="24"/>
          <w:szCs w:val="24"/>
        </w:rPr>
        <w:t xml:space="preserve"> w</w:t>
      </w:r>
      <w:r>
        <w:rPr>
          <w:rFonts w:ascii="Times New Roman" w:cs="Times New Roman" w:hAnsi="Times New Roman"/>
          <w:sz w:val="24"/>
          <w:szCs w:val="24"/>
        </w:rPr>
        <w:t xml:space="preserve">ater to feed </w:t>
      </w:r>
      <w:r>
        <w:rPr>
          <w:rFonts w:ascii="Times New Roman" w:cs="Times New Roman" w:hAnsi="Times New Roman"/>
          <w:sz w:val="24"/>
          <w:szCs w:val="24"/>
        </w:rPr>
        <w:t>ratio and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carcass and</w:t>
      </w:r>
      <w:r>
        <w:rPr>
          <w:rFonts w:ascii="Times New Roman" w:cs="Times New Roman" w:hAnsi="Times New Roman"/>
          <w:sz w:val="24"/>
          <w:szCs w:val="24"/>
        </w:rPr>
        <w:t xml:space="preserve"> visceral parameters. The study was carried out over a period of 49 days. Birds supplemented with rosemary had a significantly low feed intake (156.51 ± 5.4 g/ bird)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low water intake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live</w:t>
      </w:r>
      <w:r>
        <w:rPr>
          <w:rFonts w:ascii="Times New Roman" w:cs="Times New Roman" w:hAnsi="Times New Roman"/>
          <w:sz w:val="24"/>
          <w:szCs w:val="24"/>
        </w:rPr>
        <w:t>weight</w:t>
      </w:r>
      <w:r>
        <w:rPr>
          <w:rFonts w:ascii="Times New Roman" w:cs="Times New Roman" w:hAnsi="Times New Roman"/>
          <w:sz w:val="24"/>
          <w:szCs w:val="24"/>
        </w:rPr>
        <w:t xml:space="preserve"> (3462.33 ± 74.3g/ bird) compared to all other treatment groups. </w:t>
      </w:r>
      <w:r>
        <w:rPr>
          <w:rFonts w:ascii="Times New Roman" w:cs="Times New Roman" w:hAnsi="Times New Roman"/>
          <w:sz w:val="24"/>
          <w:szCs w:val="24"/>
        </w:rPr>
        <w:t>Herbal supplementation had no effect on f</w:t>
      </w:r>
      <w:r>
        <w:rPr>
          <w:rFonts w:ascii="Times New Roman" w:cs="Times New Roman" w:hAnsi="Times New Roman"/>
          <w:sz w:val="24"/>
          <w:szCs w:val="24"/>
        </w:rPr>
        <w:t xml:space="preserve">eed conversion ratio, water to feed ratio, average daily gain (P &gt; 0.05). </w:t>
      </w:r>
      <w:r>
        <w:rPr>
          <w:rFonts w:ascii="Times New Roman" w:cs="Times New Roman" w:hAnsi="Times New Roman"/>
          <w:sz w:val="24"/>
          <w:szCs w:val="24"/>
        </w:rPr>
        <w:t>B</w:t>
      </w:r>
      <w:r>
        <w:rPr>
          <w:rFonts w:ascii="Times New Roman" w:cs="Times New Roman" w:hAnsi="Times New Roman"/>
          <w:sz w:val="24"/>
          <w:szCs w:val="24"/>
        </w:rPr>
        <w:t>irds supplemented with coriander (3429.8 ± 180.2 g/ bird)</w:t>
      </w:r>
      <w:r>
        <w:rPr>
          <w:rFonts w:ascii="Times New Roman" w:cs="Times New Roman" w:hAnsi="Times New Roman"/>
          <w:sz w:val="24"/>
          <w:szCs w:val="24"/>
        </w:rPr>
        <w:t xml:space="preserve"> had the highest dressed </w:t>
      </w:r>
      <w:r>
        <w:rPr>
          <w:rFonts w:ascii="Times New Roman" w:cs="Times New Roman" w:hAnsi="Times New Roman"/>
          <w:sz w:val="24"/>
          <w:szCs w:val="24"/>
        </w:rPr>
        <w:t xml:space="preserve">weight </w:t>
      </w:r>
      <w:r>
        <w:rPr>
          <w:rFonts w:ascii="Times New Roman" w:cs="Times New Roman" w:hAnsi="Times New Roman"/>
          <w:sz w:val="24"/>
          <w:szCs w:val="24"/>
        </w:rPr>
        <w:t>compared to other treatments.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>o significant difference</w:t>
      </w:r>
      <w:r>
        <w:rPr>
          <w:rFonts w:ascii="Times New Roman" w:cs="Times New Roman" w:hAnsi="Times New Roman"/>
          <w:sz w:val="24"/>
          <w:szCs w:val="24"/>
        </w:rPr>
        <w:t xml:space="preserve">s were </w:t>
      </w:r>
      <w:r>
        <w:rPr>
          <w:rFonts w:ascii="Times New Roman" w:cs="Times New Roman" w:hAnsi="Times New Roman"/>
          <w:sz w:val="24"/>
          <w:szCs w:val="24"/>
        </w:rPr>
        <w:t>observed in gizzard, liver and heart weight among all treatments. Significantly higher (p&lt;0.05) gastrointestinal weight (156.3 ± 5.6 g) was observed in birds fed with ginger.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Coriander treated group presented significantly higher gastro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intestinal tract length (210 ± 2.9 cm) compared to all other treatments. It can be concluded that coriander and ginger </w:t>
      </w:r>
      <w:r>
        <w:rPr>
          <w:rFonts w:ascii="Times New Roman" w:cs="Times New Roman" w:hAnsi="Times New Roman"/>
          <w:sz w:val="24"/>
          <w:szCs w:val="24"/>
        </w:rPr>
        <w:t xml:space="preserve">supplementation </w:t>
      </w:r>
      <w:r>
        <w:rPr>
          <w:rFonts w:ascii="Times New Roman" w:cs="Times New Roman" w:hAnsi="Times New Roman"/>
          <w:sz w:val="24"/>
          <w:szCs w:val="24"/>
        </w:rPr>
        <w:t>positively influence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broiler </w:t>
      </w:r>
      <w:r>
        <w:rPr>
          <w:rFonts w:ascii="Times New Roman" w:cs="Times New Roman" w:hAnsi="Times New Roman"/>
          <w:sz w:val="24"/>
          <w:szCs w:val="24"/>
        </w:rPr>
        <w:t xml:space="preserve">growth </w:t>
      </w:r>
      <w:r>
        <w:rPr>
          <w:rFonts w:ascii="Times New Roman" w:cs="Times New Roman" w:hAnsi="Times New Roman"/>
          <w:sz w:val="24"/>
          <w:szCs w:val="24"/>
        </w:rPr>
        <w:t>performance.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</w:rPr>
        <w:t>Key Words)</w:t>
      </w:r>
      <w:r>
        <w:rPr>
          <w:rFonts w:ascii="Times New Roman" w:cs="Times New Roman" w:hAnsi="Times New Roman"/>
          <w:sz w:val="24"/>
          <w:szCs w:val="24"/>
        </w:rPr>
        <w:t>: Broilers, Ginger, Coriander, Rosemary, Broiler, Pellets, Performance, Carcass and Organ characteristics.</w:t>
      </w:r>
    </w:p>
    <w:p>
      <w:pPr>
        <w:pStyle w:val="style94"/>
        <w:widowControl w:val="false"/>
        <w:adjustRightInd w:val="false"/>
        <w:snapToGrid w:val="false"/>
        <w:spacing w:before="0" w:beforeAutospacing="false" w:after="0" w:afterAutospacing="false"/>
        <w:jc w:val="both"/>
        <w:rPr>
          <w:rFonts w:ascii="Times New Roman" w:cs="Times New Roman" w:hAnsi="Times New Roman"/>
          <w:b/>
          <w:kern w:val="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001010101"/>
    <w:charset w:val="81"/>
    <w:family w:val="swiss"/>
    <w:pitch w:val="variable"/>
    <w:sig w:usb0="B00002AF" w:usb1="69D77CFB" w:usb2="00000030" w:usb3="00000000" w:csb0="0008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ZW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64"/>
    </w:pPr>
    <w:rPr>
      <w:rFonts w:ascii="Gulim" w:cs="Gulim" w:eastAsia="Gulim" w:hAnsi="Gulim"/>
      <w:sz w:val="24"/>
      <w:szCs w:val="24"/>
      <w:lang w:val="en-US" w:eastAsia="ko-KR"/>
    </w:rPr>
  </w:style>
  <w:style w:type="paragraph" w:styleId="style157">
    <w:name w:val="No Spacing"/>
    <w:next w:val="style157"/>
    <w:qFormat/>
    <w:uiPriority w:val="1"/>
    <w:pPr>
      <w:spacing w:after="0" w:lineRule="auto" w:line="240"/>
      <w:jc w:val="both"/>
    </w:pPr>
    <w:rPr>
      <w:rFonts w:ascii="Calibri" w:cs="Times New Roman" w:eastAsia="Times New Roman" w:hAnsi="Calibri"/>
      <w:lang w:val="en-US" w:eastAsia="en-ZA"/>
    </w:rPr>
  </w:style>
  <w:style w:type="character" w:styleId="style85">
    <w:name w:val="Hyperlink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328</Words>
  <Pages>1</Pages>
  <Characters>1968</Characters>
  <Application>WPS Office</Application>
  <DocSecurity>0</DocSecurity>
  <Paragraphs>14</Paragraphs>
  <ScaleCrop>false</ScaleCrop>
  <Company>Hewlett-Packard</Company>
  <LinksUpToDate>false</LinksUpToDate>
  <CharactersWithSpaces>2291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2022-09-05T08:37:41Z</dcterms:created>
  <dc:creator>chikumba</dc:creator>
  <lastModifiedBy>itel W5505</lastModifiedBy>
  <dcterms:modified xsi:type="dcterms:W3CDTF">2022-09-05T08:37:42Z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