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694" w:rsidRPr="00AA5795" w:rsidRDefault="004D0694" w:rsidP="004D0694">
      <w:pPr>
        <w:pStyle w:val="Heading1"/>
        <w:spacing w:before="170"/>
        <w:ind w:left="0"/>
      </w:pPr>
      <w:r w:rsidRPr="004D0694">
        <w:rPr>
          <w:color w:val="337AB7"/>
        </w:rPr>
        <w:t>HEPATOPROTECTIVE EFFECT OF IMMULANT AGAINST CISPLATIN-INDUCED HEPATOTOXICITY</w:t>
      </w:r>
    </w:p>
    <w:p w:rsidR="004D0694" w:rsidRDefault="004D0694" w:rsidP="00494130">
      <w:pPr>
        <w:pStyle w:val="Heading1"/>
        <w:spacing w:before="170"/>
        <w:ind w:left="0"/>
      </w:pPr>
    </w:p>
    <w:p w:rsidR="004D0694" w:rsidRPr="004D0694" w:rsidRDefault="004D0694" w:rsidP="005973B9">
      <w:pPr>
        <w:pStyle w:val="BodyText"/>
        <w:spacing w:before="73" w:line="198" w:lineRule="exact"/>
        <w:ind w:left="100" w:right="5987"/>
        <w:rPr>
          <w:rFonts w:ascii="Arial"/>
        </w:rPr>
      </w:pPr>
      <w:r w:rsidRPr="004D0694">
        <w:rPr>
          <w:rFonts w:ascii="Arial"/>
        </w:rPr>
        <w:t xml:space="preserve">Abdelazeem A. Khalaf, </w:t>
      </w:r>
      <w:r>
        <w:rPr>
          <w:rFonts w:ascii="Arial"/>
        </w:rPr>
        <w:t>Cairo University, Egypt</w:t>
      </w:r>
    </w:p>
    <w:p w:rsidR="004D0694" w:rsidRPr="004D0694" w:rsidRDefault="004D0694" w:rsidP="005973B9">
      <w:pPr>
        <w:pStyle w:val="BodyText"/>
        <w:spacing w:before="73" w:line="198" w:lineRule="exact"/>
        <w:ind w:left="100" w:right="5987"/>
        <w:rPr>
          <w:rFonts w:ascii="Arial"/>
        </w:rPr>
      </w:pPr>
      <w:r w:rsidRPr="004D0694">
        <w:rPr>
          <w:rFonts w:ascii="Arial"/>
        </w:rPr>
        <w:t xml:space="preserve">Shymaa M. Hussein, </w:t>
      </w:r>
      <w:r>
        <w:rPr>
          <w:rFonts w:ascii="Arial"/>
        </w:rPr>
        <w:t>Cairo University, Egypt</w:t>
      </w:r>
    </w:p>
    <w:p w:rsidR="004D0694" w:rsidRPr="004D0694" w:rsidRDefault="004D0694" w:rsidP="005973B9">
      <w:pPr>
        <w:pStyle w:val="BodyText"/>
        <w:spacing w:before="73" w:line="198" w:lineRule="exact"/>
        <w:ind w:left="100" w:right="5987"/>
        <w:rPr>
          <w:rFonts w:ascii="Arial"/>
        </w:rPr>
      </w:pPr>
      <w:r w:rsidRPr="004D0694">
        <w:rPr>
          <w:rFonts w:ascii="Arial"/>
        </w:rPr>
        <w:t xml:space="preserve">Adel F. Tohamy, </w:t>
      </w:r>
      <w:r>
        <w:rPr>
          <w:rFonts w:ascii="Arial"/>
        </w:rPr>
        <w:t>Cairo University, Egypt</w:t>
      </w:r>
    </w:p>
    <w:p w:rsidR="004D0694" w:rsidRDefault="004D0694" w:rsidP="005973B9">
      <w:pPr>
        <w:pStyle w:val="BodyText"/>
        <w:spacing w:before="73" w:line="198" w:lineRule="exact"/>
        <w:ind w:left="100" w:right="5987"/>
        <w:rPr>
          <w:rFonts w:ascii="Arial"/>
        </w:rPr>
      </w:pPr>
      <w:r w:rsidRPr="004D0694">
        <w:rPr>
          <w:rFonts w:ascii="Arial"/>
        </w:rPr>
        <w:t>Amr R. Zaki, BeniSuief University</w:t>
      </w:r>
      <w:r>
        <w:rPr>
          <w:rFonts w:ascii="Arial"/>
        </w:rPr>
        <w:t>,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D0694" w:rsidRPr="004D0694" w:rsidRDefault="004D0694" w:rsidP="004D0694">
      <w:pPr>
        <w:pStyle w:val="BodyText"/>
        <w:spacing w:before="90" w:line="280" w:lineRule="auto"/>
        <w:ind w:left="100"/>
        <w:jc w:val="both"/>
      </w:pPr>
      <w:r w:rsidRPr="004D0694">
        <w:t>This</w:t>
      </w:r>
      <w:r w:rsidRPr="00A140C3">
        <w:t xml:space="preserve"> </w:t>
      </w:r>
      <w:r w:rsidRPr="004D0694">
        <w:t>study aimed to evaluate the changes of liver functions, oxidative stress, histopathological, histochemical and immunohistochemical investigations in Cisplatin-induced hepatotoxicity and the Immulant ameliorative effects. The experimental male albino rats were divided into four equal groups. The first group was kept as control, group II animals were injected IP. with Cisplatin (3.5 mg/Kg body weight) once every 3 days for consecutive 2 weeks, group III animals received Cisplatin and Immulant orally once daily in a dose level of 150 mg/Kg and group IV animals received orally immulant with the same dose as group III. Immulant was given to rats of group III 30 minutes prior injection of Cisplatin. At the end of experiment, blood was collected and analyzed for alanine aminotransferase (ALT), Aspartate transaminase (AST) and Alkaline phosphatase (ALP). The liver samples were divided into 2 parts, the first part stored for estimation of reduced Glutathione (GSH), activity of Glutathione S-transferases (GST) and level of Malondialdehyde (MDA) and the other part were processed for histopathological, histochemical and immunohistochemical study. Cisplatin induced a marked hepatic injuries, represented with a significant increase in serum ALT, AST, ALP in addition to liver MDA and lower in level of GSH and activity of GST while in group administrated Immulant in association with Cisplatin improvement was observed in oxidative stress parameter, other biochemical parameters and histopathological, histochemical and immunohistochemical changes. The results obtained revealed that Immulant significantly attenuated the Cisplatin-induced hepatotoxicity, because it acted as a powerful antioxidant, free radical scavenger and lipid peroxidation inhibitor.</w:t>
      </w:r>
    </w:p>
    <w:p w:rsidR="004D0694" w:rsidRDefault="004D0694" w:rsidP="004D0694">
      <w:pPr>
        <w:pStyle w:val="BodyText"/>
        <w:spacing w:before="90" w:line="280" w:lineRule="auto"/>
        <w:ind w:left="100"/>
        <w:jc w:val="both"/>
      </w:pPr>
    </w:p>
    <w:p w:rsidR="004D0694" w:rsidRDefault="004D0694">
      <w:pPr>
        <w:pStyle w:val="BodyText"/>
        <w:spacing w:before="90" w:line="280" w:lineRule="auto"/>
        <w:ind w:left="100"/>
        <w:jc w:val="both"/>
      </w:pPr>
    </w:p>
    <w:p w:rsidR="004D0694" w:rsidRPr="004D0694" w:rsidRDefault="00A9710C" w:rsidP="004D0694">
      <w:pPr>
        <w:pStyle w:val="Heading3"/>
        <w:spacing w:before="74"/>
      </w:pPr>
      <w:r>
        <w:rPr>
          <w:b w:val="0"/>
        </w:rPr>
        <w:br w:type="column"/>
      </w:r>
      <w:r w:rsidR="005973B9">
        <w:rPr>
          <w:color w:val="BF5A14"/>
        </w:rPr>
        <w:lastRenderedPageBreak/>
        <w:t>Recent Publications (minimum 5)</w:t>
      </w:r>
    </w:p>
    <w:p w:rsidR="004D0694" w:rsidRPr="004D0694" w:rsidRDefault="004D0694" w:rsidP="004D0694">
      <w:pPr>
        <w:pStyle w:val="ListParagraph"/>
        <w:numPr>
          <w:ilvl w:val="0"/>
          <w:numId w:val="3"/>
        </w:numPr>
        <w:tabs>
          <w:tab w:val="left" w:pos="384"/>
        </w:tabs>
        <w:spacing w:before="103" w:line="216" w:lineRule="exact"/>
        <w:ind w:right="138" w:hanging="283"/>
        <w:rPr>
          <w:sz w:val="18"/>
        </w:rPr>
      </w:pPr>
      <w:r w:rsidRPr="004D0694">
        <w:rPr>
          <w:sz w:val="18"/>
        </w:rPr>
        <w:t xml:space="preserve">Histamine H1 receptor antagonists enhance the efficacy of antibacterials against Escherichia coli. </w:t>
      </w:r>
      <w:hyperlink r:id="rId9" w:history="1">
        <w:r w:rsidRPr="004D0694">
          <w:rPr>
            <w:sz w:val="18"/>
          </w:rPr>
          <w:t>Bruer GG</w:t>
        </w:r>
      </w:hyperlink>
      <w:r w:rsidRPr="004D0694">
        <w:rPr>
          <w:sz w:val="18"/>
        </w:rPr>
        <w:t>, </w:t>
      </w:r>
      <w:hyperlink r:id="rId10" w:history="1">
        <w:r w:rsidRPr="004D0694">
          <w:rPr>
            <w:sz w:val="18"/>
          </w:rPr>
          <w:t>Hagedorn P</w:t>
        </w:r>
      </w:hyperlink>
      <w:r w:rsidRPr="004D0694">
        <w:rPr>
          <w:sz w:val="18"/>
        </w:rPr>
        <w:t>, </w:t>
      </w:r>
      <w:hyperlink r:id="rId11" w:history="1">
        <w:r w:rsidRPr="004D0694">
          <w:rPr>
            <w:sz w:val="18"/>
          </w:rPr>
          <w:t>Kietzmann M</w:t>
        </w:r>
      </w:hyperlink>
      <w:r w:rsidRPr="004D0694">
        <w:rPr>
          <w:sz w:val="18"/>
        </w:rPr>
        <w:t>, </w:t>
      </w:r>
      <w:hyperlink r:id="rId12" w:history="1">
        <w:r w:rsidRPr="004D0694">
          <w:rPr>
            <w:sz w:val="18"/>
          </w:rPr>
          <w:t>Tohamy AF</w:t>
        </w:r>
      </w:hyperlink>
      <w:r w:rsidRPr="004D0694">
        <w:rPr>
          <w:sz w:val="18"/>
        </w:rPr>
        <w:t>, </w:t>
      </w:r>
      <w:hyperlink r:id="rId13" w:history="1">
        <w:r w:rsidRPr="004D0694">
          <w:rPr>
            <w:sz w:val="18"/>
          </w:rPr>
          <w:t>Filor V</w:t>
        </w:r>
      </w:hyperlink>
      <w:r w:rsidRPr="004D0694">
        <w:rPr>
          <w:sz w:val="18"/>
        </w:rPr>
        <w:t>, </w:t>
      </w:r>
      <w:hyperlink r:id="rId14" w:history="1">
        <w:r w:rsidRPr="004D0694">
          <w:rPr>
            <w:sz w:val="18"/>
          </w:rPr>
          <w:t>Schultz E</w:t>
        </w:r>
      </w:hyperlink>
      <w:r w:rsidRPr="004D0694">
        <w:rPr>
          <w:sz w:val="18"/>
        </w:rPr>
        <w:t>, </w:t>
      </w:r>
      <w:hyperlink r:id="rId15" w:history="1">
        <w:r w:rsidRPr="004D0694">
          <w:rPr>
            <w:sz w:val="18"/>
          </w:rPr>
          <w:t>Mielke-Kuschow S</w:t>
        </w:r>
      </w:hyperlink>
      <w:r w:rsidRPr="004D0694">
        <w:rPr>
          <w:sz w:val="18"/>
        </w:rPr>
        <w:t>, </w:t>
      </w:r>
      <w:hyperlink r:id="rId16" w:history="1">
        <w:r w:rsidRPr="004D0694">
          <w:rPr>
            <w:sz w:val="18"/>
          </w:rPr>
          <w:t>Meissner J</w:t>
        </w:r>
      </w:hyperlink>
      <w:r w:rsidRPr="004D0694">
        <w:rPr>
          <w:sz w:val="18"/>
        </w:rPr>
        <w:t xml:space="preserve">. </w:t>
      </w:r>
      <w:hyperlink r:id="rId17" w:tooltip="BMC veterinary research." w:history="1">
        <w:r w:rsidRPr="004D0694">
          <w:rPr>
            <w:sz w:val="18"/>
          </w:rPr>
          <w:t>BMC Vet Res.</w:t>
        </w:r>
      </w:hyperlink>
      <w:r w:rsidRPr="004D0694">
        <w:rPr>
          <w:sz w:val="18"/>
        </w:rPr>
        <w:t> 2019, 15(1):55</w:t>
      </w:r>
    </w:p>
    <w:p w:rsidR="004D0694" w:rsidRPr="004D0694" w:rsidRDefault="004D0694" w:rsidP="004D0694">
      <w:pPr>
        <w:pStyle w:val="ListParagraph"/>
        <w:numPr>
          <w:ilvl w:val="0"/>
          <w:numId w:val="3"/>
        </w:numPr>
        <w:tabs>
          <w:tab w:val="left" w:pos="384"/>
        </w:tabs>
        <w:spacing w:before="103" w:line="216" w:lineRule="exact"/>
        <w:ind w:right="138" w:hanging="283"/>
        <w:rPr>
          <w:sz w:val="18"/>
        </w:rPr>
      </w:pPr>
      <w:r w:rsidRPr="004D0694">
        <w:rPr>
          <w:sz w:val="18"/>
        </w:rPr>
        <w:t xml:space="preserve">Metabolic profile and hepatoprotective effect of Aeschynomene elaphroxylon (Guill. &amp; Perr.). </w:t>
      </w:r>
      <w:hyperlink r:id="rId18" w:history="1">
        <w:r w:rsidRPr="004D0694">
          <w:rPr>
            <w:sz w:val="18"/>
          </w:rPr>
          <w:t>Hashem MM</w:t>
        </w:r>
      </w:hyperlink>
      <w:r w:rsidRPr="004D0694">
        <w:rPr>
          <w:sz w:val="18"/>
        </w:rPr>
        <w:t>, </w:t>
      </w:r>
      <w:hyperlink r:id="rId19" w:history="1">
        <w:r w:rsidRPr="004D0694">
          <w:rPr>
            <w:sz w:val="18"/>
          </w:rPr>
          <w:t>Salama MM</w:t>
        </w:r>
      </w:hyperlink>
      <w:r w:rsidRPr="004D0694">
        <w:rPr>
          <w:sz w:val="18"/>
        </w:rPr>
        <w:t>, </w:t>
      </w:r>
      <w:hyperlink r:id="rId20" w:history="1">
        <w:r w:rsidRPr="004D0694">
          <w:rPr>
            <w:sz w:val="18"/>
          </w:rPr>
          <w:t>Mohammed FF</w:t>
        </w:r>
      </w:hyperlink>
      <w:r w:rsidRPr="004D0694">
        <w:rPr>
          <w:sz w:val="18"/>
        </w:rPr>
        <w:t>, </w:t>
      </w:r>
      <w:hyperlink r:id="rId21" w:history="1">
        <w:r w:rsidRPr="004D0694">
          <w:rPr>
            <w:sz w:val="18"/>
          </w:rPr>
          <w:t>Tohamy AF</w:t>
        </w:r>
      </w:hyperlink>
      <w:r w:rsidRPr="004D0694">
        <w:rPr>
          <w:sz w:val="18"/>
        </w:rPr>
        <w:t>, </w:t>
      </w:r>
      <w:hyperlink r:id="rId22" w:history="1">
        <w:r w:rsidRPr="004D0694">
          <w:rPr>
            <w:sz w:val="18"/>
          </w:rPr>
          <w:t>El Deeb KS</w:t>
        </w:r>
      </w:hyperlink>
      <w:r w:rsidRPr="004D0694">
        <w:rPr>
          <w:sz w:val="18"/>
        </w:rPr>
        <w:t xml:space="preserve">. </w:t>
      </w:r>
      <w:hyperlink r:id="rId23" w:tooltip="PloS one." w:history="1">
        <w:r w:rsidRPr="004D0694">
          <w:rPr>
            <w:sz w:val="18"/>
          </w:rPr>
          <w:t>PLoS One.</w:t>
        </w:r>
      </w:hyperlink>
      <w:r w:rsidRPr="004D0694">
        <w:rPr>
          <w:sz w:val="18"/>
        </w:rPr>
        <w:t> 2019, 14(1).</w:t>
      </w:r>
    </w:p>
    <w:p w:rsidR="004D0694" w:rsidRPr="004D0694" w:rsidRDefault="004D0694" w:rsidP="004D0694">
      <w:pPr>
        <w:pStyle w:val="ListParagraph"/>
        <w:numPr>
          <w:ilvl w:val="0"/>
          <w:numId w:val="3"/>
        </w:numPr>
        <w:tabs>
          <w:tab w:val="left" w:pos="384"/>
        </w:tabs>
        <w:spacing w:before="103" w:line="216" w:lineRule="exact"/>
        <w:ind w:right="138" w:hanging="283"/>
        <w:rPr>
          <w:sz w:val="18"/>
        </w:rPr>
      </w:pPr>
      <w:r w:rsidRPr="004D0694">
        <w:rPr>
          <w:sz w:val="18"/>
        </w:rPr>
        <w:t>Ameliorative effects of bone marrow derived pancreatic progenitor cells on hyperglycemia and oxidative stress in diabetic rats. Rizk H, Tohamy AF, Sayed WM, Prince A. Acta Histochemica 120 (2018) 412–419.</w:t>
      </w:r>
    </w:p>
    <w:p w:rsidR="00AE3E37" w:rsidRPr="004D0694" w:rsidRDefault="004D0694" w:rsidP="004D0694">
      <w:pPr>
        <w:pStyle w:val="ListParagraph"/>
        <w:numPr>
          <w:ilvl w:val="0"/>
          <w:numId w:val="3"/>
        </w:numPr>
        <w:tabs>
          <w:tab w:val="left" w:pos="384"/>
        </w:tabs>
        <w:spacing w:before="103" w:line="216" w:lineRule="exact"/>
        <w:ind w:right="138" w:hanging="283"/>
        <w:rPr>
          <w:sz w:val="18"/>
        </w:rPr>
      </w:pPr>
      <w:r w:rsidRPr="004D0694">
        <w:rPr>
          <w:sz w:val="18"/>
        </w:rPr>
        <w:t>Protective Effect of Vitazinc on Chlorsan Induced Oxidative Stress, Genotoxicity and Histopathological Changes in Testicular Tissues of Male Rats. Khalaf A.A., Ibrahim M.A., Tohamy A.F., Abd Allah A.A. and Amr R. Zaki. Int. J. Pharmacol., 13 (1): 22-32, (2017).</w:t>
      </w:r>
    </w:p>
    <w:p w:rsidR="004D0694" w:rsidRPr="004D0694" w:rsidRDefault="004D0694" w:rsidP="004D0694">
      <w:pPr>
        <w:pStyle w:val="ListParagraph"/>
        <w:numPr>
          <w:ilvl w:val="0"/>
          <w:numId w:val="3"/>
        </w:numPr>
        <w:tabs>
          <w:tab w:val="left" w:pos="384"/>
        </w:tabs>
        <w:spacing w:before="103" w:line="216" w:lineRule="exact"/>
        <w:ind w:right="138" w:hanging="283"/>
        <w:rPr>
          <w:sz w:val="18"/>
        </w:rPr>
      </w:pPr>
      <w:r w:rsidRPr="004D0694">
        <w:rPr>
          <w:sz w:val="18"/>
        </w:rPr>
        <w:t>Extract of Moringa oleifera leaves ameliorates streptozotocin-induced Diabetes mellitus in adult rats. Hanan Dawood Yassaa, Adel Fathy Tohamy. Acta Histochemica, 116: 844–854., 2014.</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E0012">
      <w:pPr>
        <w:pStyle w:val="BodyText"/>
        <w:spacing w:line="40" w:lineRule="exact"/>
        <w:ind w:left="2202"/>
        <w:rPr>
          <w:rFonts w:ascii="Calibri"/>
          <w:sz w:val="4"/>
        </w:rPr>
      </w:pPr>
      <w:r w:rsidRPr="006E0012">
        <w:rPr>
          <w:rFonts w:ascii="Calibri"/>
          <w:noProof/>
          <w:sz w:val="4"/>
          <w:lang w:val="en-IN" w:eastAsia="en-IN"/>
        </w:rPr>
      </w:r>
      <w:r w:rsidRPr="006E001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F43E8" w:rsidRDefault="004F43E8" w:rsidP="00404E5B">
      <w:pPr>
        <w:spacing w:before="92"/>
        <w:ind w:right="4234"/>
        <w:rPr>
          <w:noProof/>
        </w:rPr>
      </w:pPr>
      <w:r>
        <w:rPr>
          <w:noProof/>
        </w:rPr>
        <w:drawing>
          <wp:anchor distT="0" distB="0" distL="114300" distR="114300" simplePos="0" relativeHeight="251659264" behindDoc="0" locked="0" layoutInCell="1" allowOverlap="1">
            <wp:simplePos x="0" y="0"/>
            <wp:positionH relativeFrom="column">
              <wp:posOffset>1270</wp:posOffset>
            </wp:positionH>
            <wp:positionV relativeFrom="paragraph">
              <wp:posOffset>33020</wp:posOffset>
            </wp:positionV>
            <wp:extent cx="631825" cy="650875"/>
            <wp:effectExtent l="19050" t="0" r="0" b="0"/>
            <wp:wrapThrough wrapText="bothSides">
              <wp:wrapPolygon edited="0">
                <wp:start x="-651" y="0"/>
                <wp:lineTo x="-651" y="20862"/>
                <wp:lineTo x="21491" y="20862"/>
                <wp:lineTo x="21491" y="0"/>
                <wp:lineTo x="-651" y="0"/>
              </wp:wrapPolygon>
            </wp:wrapThrough>
            <wp:docPr id="2" name="Picture 2" descr="adel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el pic"/>
                    <pic:cNvPicPr>
                      <a:picLocks noChangeAspect="1" noChangeArrowheads="1"/>
                    </pic:cNvPicPr>
                  </pic:nvPicPr>
                  <pic:blipFill>
                    <a:blip r:embed="rId24" cstate="print"/>
                    <a:srcRect b="18617"/>
                    <a:stretch>
                      <a:fillRect/>
                    </a:stretch>
                  </pic:blipFill>
                  <pic:spPr bwMode="auto">
                    <a:xfrm>
                      <a:off x="0" y="0"/>
                      <a:ext cx="631825" cy="650875"/>
                    </a:xfrm>
                    <a:prstGeom prst="rect">
                      <a:avLst/>
                    </a:prstGeom>
                    <a:noFill/>
                    <a:ln w="9525">
                      <a:noFill/>
                      <a:miter lim="800000"/>
                      <a:headEnd/>
                      <a:tailEnd/>
                    </a:ln>
                  </pic:spPr>
                </pic:pic>
              </a:graphicData>
            </a:graphic>
          </wp:anchor>
        </w:drawing>
      </w:r>
    </w:p>
    <w:p w:rsidR="004F43E8" w:rsidRDefault="004F43E8" w:rsidP="00404E5B">
      <w:pPr>
        <w:spacing w:before="92"/>
        <w:ind w:right="4234"/>
        <w:rPr>
          <w:noProof/>
        </w:rPr>
      </w:pPr>
    </w:p>
    <w:p w:rsidR="004F43E8" w:rsidRDefault="004F43E8"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4F43E8" w:rsidRPr="004F43E8">
        <w:rPr>
          <w:i/>
          <w:iCs/>
          <w:noProof/>
          <w:sz w:val="24"/>
          <w:szCs w:val="24"/>
        </w:rPr>
        <w:t xml:space="preserve"> </w:t>
      </w:r>
    </w:p>
    <w:p w:rsidR="00AE3E37" w:rsidRDefault="00E459DB" w:rsidP="00E459DB">
      <w:pPr>
        <w:spacing w:before="41" w:line="154" w:lineRule="exact"/>
        <w:ind w:left="213" w:right="231"/>
        <w:jc w:val="both"/>
        <w:rPr>
          <w:rFonts w:ascii="Arial"/>
          <w:sz w:val="14"/>
        </w:rPr>
      </w:pPr>
      <w:r>
        <w:rPr>
          <w:rFonts w:ascii="Arial"/>
          <w:sz w:val="14"/>
        </w:rPr>
        <w:t>Adel Tohamy</w:t>
      </w:r>
      <w:r w:rsidR="00A9710C">
        <w:rPr>
          <w:rFonts w:ascii="Arial"/>
          <w:sz w:val="14"/>
        </w:rPr>
        <w:t xml:space="preserve"> has </w:t>
      </w:r>
      <w:r>
        <w:rPr>
          <w:rFonts w:ascii="Arial"/>
          <w:sz w:val="14"/>
        </w:rPr>
        <w:t>his</w:t>
      </w:r>
      <w:r w:rsidR="00A9710C">
        <w:rPr>
          <w:rFonts w:ascii="Arial"/>
          <w:sz w:val="14"/>
        </w:rPr>
        <w:t xml:space="preserve"> expertise in </w:t>
      </w:r>
      <w:r>
        <w:rPr>
          <w:rFonts w:ascii="Arial"/>
          <w:sz w:val="14"/>
        </w:rPr>
        <w:t>hepatotoxicity and Cell culture</w:t>
      </w:r>
      <w:r w:rsidR="00A9710C">
        <w:rPr>
          <w:rFonts w:ascii="Arial"/>
          <w:sz w:val="14"/>
        </w:rPr>
        <w:t xml:space="preserve">. </w:t>
      </w:r>
      <w:r>
        <w:rPr>
          <w:rFonts w:ascii="Arial"/>
          <w:sz w:val="14"/>
        </w:rPr>
        <w:t>He graduated from faculty of Veterinary medicine, Cairo University; after that he becomes specialized in Toxicology. He works as researcher in department of Toxicology Cairo University, Egypt; also in injie University, South Korea and in University of Veterinary Medicine, Hannover, Germany</w:t>
      </w:r>
      <w:r w:rsidR="00A9710C">
        <w:rPr>
          <w:rFonts w:ascii="Arial"/>
          <w:sz w:val="14"/>
        </w:rPr>
        <w:t>.</w:t>
      </w:r>
    </w:p>
    <w:p w:rsidR="00AE3E37" w:rsidRDefault="00A9710C" w:rsidP="00987C2E">
      <w:pPr>
        <w:spacing w:before="62"/>
        <w:ind w:left="4217" w:right="4235"/>
        <w:jc w:val="center"/>
        <w:rPr>
          <w:rFonts w:ascii="Arial"/>
          <w:sz w:val="14"/>
        </w:rPr>
      </w:pPr>
      <w:r>
        <w:rPr>
          <w:rFonts w:ascii="Arial"/>
          <w:sz w:val="14"/>
        </w:rPr>
        <w:t xml:space="preserve">Email: </w:t>
      </w:r>
      <w:hyperlink r:id="rId25" w:history="1">
        <w:r w:rsidR="00987C2E" w:rsidRPr="007F321B">
          <w:rPr>
            <w:rStyle w:val="Hyperlink"/>
            <w:rFonts w:ascii="Arial"/>
            <w:sz w:val="14"/>
          </w:rPr>
          <w:t>adel</w:t>
        </w:r>
        <w:r w:rsidR="00987C2E" w:rsidRPr="00987C2E">
          <w:rPr>
            <w:rStyle w:val="Hyperlink"/>
            <w:rFonts w:ascii="Arial"/>
            <w:b/>
            <w:bCs/>
            <w:sz w:val="20"/>
            <w:szCs w:val="20"/>
          </w:rPr>
          <w:t>_</w:t>
        </w:r>
        <w:r w:rsidR="00987C2E" w:rsidRPr="007F321B">
          <w:rPr>
            <w:rStyle w:val="Hyperlink"/>
            <w:rFonts w:ascii="Arial"/>
            <w:sz w:val="14"/>
          </w:rPr>
          <w:t>367@yahoo.com</w:t>
        </w:r>
      </w:hyperlink>
    </w:p>
    <w:p w:rsidR="00AE3E37" w:rsidRDefault="006E0012">
      <w:pPr>
        <w:pStyle w:val="BodyText"/>
        <w:spacing w:before="2"/>
        <w:rPr>
          <w:rFonts w:ascii="Arial"/>
          <w:sz w:val="19"/>
        </w:rPr>
      </w:pPr>
      <w:r w:rsidRPr="006E001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0C0" w:rsidRDefault="005460C0">
      <w:r>
        <w:separator/>
      </w:r>
    </w:p>
  </w:endnote>
  <w:endnote w:type="continuationSeparator" w:id="1">
    <w:p w:rsidR="005460C0" w:rsidRDefault="005460C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0012">
    <w:pPr>
      <w:pStyle w:val="BodyText"/>
      <w:spacing w:line="14" w:lineRule="auto"/>
      <w:rPr>
        <w:sz w:val="20"/>
      </w:rPr>
    </w:pPr>
    <w:r w:rsidRPr="006E001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E001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E001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0C0" w:rsidRDefault="005460C0">
      <w:r>
        <w:separator/>
      </w:r>
    </w:p>
  </w:footnote>
  <w:footnote w:type="continuationSeparator" w:id="1">
    <w:p w:rsidR="005460C0" w:rsidRDefault="005460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E0012">
    <w:pPr>
      <w:pStyle w:val="BodyText"/>
      <w:spacing w:line="14" w:lineRule="auto"/>
      <w:rPr>
        <w:sz w:val="20"/>
      </w:rPr>
    </w:pPr>
    <w:r w:rsidRPr="006E001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4D0694" w:rsidRDefault="00A9710C">
                <w:pPr>
                  <w:spacing w:before="2" w:line="249" w:lineRule="auto"/>
                  <w:ind w:left="156" w:right="18" w:hanging="137"/>
                  <w:rPr>
                    <w:rFonts w:ascii="Arial"/>
                    <w:color w:val="FFFFFF" w:themeColor="background1"/>
                    <w:sz w:val="14"/>
                    <w:lang w:val="fr-FR"/>
                  </w:rPr>
                </w:pPr>
                <w:r w:rsidRPr="004D0694">
                  <w:rPr>
                    <w:rFonts w:ascii="Arial"/>
                    <w:color w:val="FFFFFF" w:themeColor="background1"/>
                    <w:sz w:val="14"/>
                    <w:lang w:val="fr-FR"/>
                  </w:rPr>
                  <w:t xml:space="preserve">T Furuta et al., J Pai n Relief 2016, 5:3(Suppl) </w:t>
                </w:r>
                <w:hyperlink r:id="rId1">
                  <w:r w:rsidRPr="004D0694">
                    <w:rPr>
                      <w:rFonts w:ascii="Arial"/>
                      <w:color w:val="FFFFFF" w:themeColor="background1"/>
                      <w:sz w:val="14"/>
                      <w:lang w:val="fr-FR"/>
                    </w:rPr>
                    <w:t>http://dx.doi.org/10.4172/2167-0846.C1.006</w:t>
                  </w:r>
                </w:hyperlink>
              </w:p>
            </w:txbxContent>
          </v:textbox>
          <w10:wrap anchorx="page" anchory="page"/>
        </v:shape>
      </w:pict>
    </w:r>
    <w:r w:rsidRPr="006E001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406608"/>
    <w:multiLevelType w:val="hybridMultilevel"/>
    <w:tmpl w:val="97FE8D76"/>
    <w:lvl w:ilvl="0" w:tplc="92F07772">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D0694"/>
    <w:rsid w:val="004F3523"/>
    <w:rsid w:val="004F43E8"/>
    <w:rsid w:val="005460C0"/>
    <w:rsid w:val="005973B9"/>
    <w:rsid w:val="005B3A56"/>
    <w:rsid w:val="006060CE"/>
    <w:rsid w:val="0063497F"/>
    <w:rsid w:val="006E0012"/>
    <w:rsid w:val="00873DF0"/>
    <w:rsid w:val="008756E6"/>
    <w:rsid w:val="008A08B6"/>
    <w:rsid w:val="00987C2E"/>
    <w:rsid w:val="009B2D44"/>
    <w:rsid w:val="00A07E82"/>
    <w:rsid w:val="00A9710C"/>
    <w:rsid w:val="00AE3E37"/>
    <w:rsid w:val="00B21A57"/>
    <w:rsid w:val="00C33602"/>
    <w:rsid w:val="00CD6F55"/>
    <w:rsid w:val="00DE3104"/>
    <w:rsid w:val="00E26B10"/>
    <w:rsid w:val="00E459D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4D0694"/>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4D0694"/>
    <w:rPr>
      <w:rFonts w:ascii="Times New Roman" w:eastAsia="Times New Roman" w:hAnsi="Times New Roman" w:cs="Times New Roman"/>
      <w:kern w:val="28"/>
      <w:sz w:val="48"/>
      <w:szCs w:val="48"/>
    </w:rPr>
  </w:style>
  <w:style w:type="paragraph" w:customStyle="1" w:styleId="Abstract">
    <w:name w:val="Abstract"/>
    <w:basedOn w:val="Normal"/>
    <w:next w:val="Normal"/>
    <w:rsid w:val="004D0694"/>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Filor%20V%5BAuthor%5D&amp;cauthor=true&amp;cauthor_uid=30744618" TargetMode="External"/><Relationship Id="rId18" Type="http://schemas.openxmlformats.org/officeDocument/2006/relationships/hyperlink" Target="https://www.ncbi.nlm.nih.gov/pubmed/?term=Hashem%20MM%5BAuthor%5D&amp;cauthor=true&amp;cauthor_uid=30629685"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bi.nlm.nih.gov/pubmed/?term=Tohamy%20AF%5BAuthor%5D&amp;cauthor=true&amp;cauthor_uid=30629685" TargetMode="External"/><Relationship Id="rId7" Type="http://schemas.openxmlformats.org/officeDocument/2006/relationships/header" Target="header1.xml"/><Relationship Id="rId12" Type="http://schemas.openxmlformats.org/officeDocument/2006/relationships/hyperlink" Target="https://www.ncbi.nlm.nih.gov/pubmed/?term=Tohamy%20AF%5BAuthor%5D&amp;cauthor=true&amp;cauthor_uid=30744618" TargetMode="External"/><Relationship Id="rId17" Type="http://schemas.openxmlformats.org/officeDocument/2006/relationships/hyperlink" Target="https://www.ncbi.nlm.nih.gov/pubmed/?term=Histamine+H1+receptor+antagonists+enhance+the+efficacy+of+antibacterials+against+Escherichia+coli" TargetMode="External"/><Relationship Id="rId25" Type="http://schemas.openxmlformats.org/officeDocument/2006/relationships/hyperlink" Target="mailto:adel_367@yahoo.com" TargetMode="External"/><Relationship Id="rId2" Type="http://schemas.openxmlformats.org/officeDocument/2006/relationships/styles" Target="styles.xml"/><Relationship Id="rId16" Type="http://schemas.openxmlformats.org/officeDocument/2006/relationships/hyperlink" Target="https://www.ncbi.nlm.nih.gov/pubmed/?term=Meissner%20J%5BAuthor%5D&amp;cauthor=true&amp;cauthor_uid=30744618" TargetMode="External"/><Relationship Id="rId20" Type="http://schemas.openxmlformats.org/officeDocument/2006/relationships/hyperlink" Target="https://www.ncbi.nlm.nih.gov/pubmed/?term=Mohammed%20FF%5BAuthor%5D&amp;cauthor=true&amp;cauthor_uid=3062968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Kietzmann%20M%5BAuthor%5D&amp;cauthor=true&amp;cauthor_uid=30744618" TargetMode="External"/><Relationship Id="rId24"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www.ncbi.nlm.nih.gov/pubmed/?term=Mielke-Kuschow%20S%5BAuthor%5D&amp;cauthor=true&amp;cauthor_uid=30744618" TargetMode="External"/><Relationship Id="rId23" Type="http://schemas.openxmlformats.org/officeDocument/2006/relationships/hyperlink" Target="https://www.ncbi.nlm.nih.gov/pubmed/?term=Metabolic+profile+and+hepatoprotective+effect+of+Aeschynomene+elaphroxylon+(Guill.+%26+Perr.)" TargetMode="External"/><Relationship Id="rId28" Type="http://schemas.microsoft.com/office/2007/relationships/stylesWithEffects" Target="stylesWithEffects.xml"/><Relationship Id="rId10" Type="http://schemas.openxmlformats.org/officeDocument/2006/relationships/hyperlink" Target="https://www.ncbi.nlm.nih.gov/pubmed/?term=Hagedorn%20P%5BAuthor%5D&amp;cauthor=true&amp;cauthor_uid=30744618" TargetMode="External"/><Relationship Id="rId19" Type="http://schemas.openxmlformats.org/officeDocument/2006/relationships/hyperlink" Target="https://www.ncbi.nlm.nih.gov/pubmed/?term=Salama%20MM%5BAuthor%5D&amp;cauthor=true&amp;cauthor_uid=30629685" TargetMode="External"/><Relationship Id="rId4" Type="http://schemas.openxmlformats.org/officeDocument/2006/relationships/webSettings" Target="webSettings.xml"/><Relationship Id="rId9" Type="http://schemas.openxmlformats.org/officeDocument/2006/relationships/hyperlink" Target="https://www.ncbi.nlm.nih.gov/pubmed/?term=Bruer%20GG%5BAuthor%5D&amp;cauthor=true&amp;cauthor_uid=30744618" TargetMode="External"/><Relationship Id="rId14" Type="http://schemas.openxmlformats.org/officeDocument/2006/relationships/hyperlink" Target="https://www.ncbi.nlm.nih.gov/pubmed/?term=Schultz%20E%5BAuthor%5D&amp;cauthor=true&amp;cauthor_uid=30744618" TargetMode="External"/><Relationship Id="rId22" Type="http://schemas.openxmlformats.org/officeDocument/2006/relationships/hyperlink" Target="https://www.ncbi.nlm.nih.gov/pubmed/?term=El%20Deeb%20KS%5BAuthor%5D&amp;cauthor=true&amp;cauthor_uid=30629685"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Adel</cp:lastModifiedBy>
  <cp:revision>7</cp:revision>
  <dcterms:created xsi:type="dcterms:W3CDTF">2016-12-06T11:19:00Z</dcterms:created>
  <dcterms:modified xsi:type="dcterms:W3CDTF">2019-05-08T22:06:00Z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