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2CE" w:rsidRPr="00631FF8" w:rsidRDefault="00631FF8" w:rsidP="00631FF8">
      <w:pPr>
        <w:rPr>
          <w:rFonts w:eastAsia="MS Mincho"/>
          <w:b/>
          <w:sz w:val="22"/>
          <w:szCs w:val="22"/>
          <w:u w:val="single"/>
        </w:rPr>
      </w:pPr>
      <w:r>
        <w:rPr>
          <w:rFonts w:eastAsia="MS Mincho"/>
          <w:b/>
          <w:sz w:val="22"/>
          <w:szCs w:val="22"/>
          <w:u w:val="single"/>
        </w:rPr>
        <w:t xml:space="preserve">Abstract </w:t>
      </w:r>
    </w:p>
    <w:p w:rsidR="001A52CE" w:rsidRPr="0005164C" w:rsidRDefault="001A52CE" w:rsidP="001A52CE">
      <w:pPr>
        <w:pStyle w:val="Author"/>
        <w:rPr>
          <w:rFonts w:eastAsia="MS Mincho"/>
          <w:sz w:val="18"/>
          <w:szCs w:val="18"/>
        </w:rPr>
        <w:sectPr w:rsidR="001A52CE" w:rsidRPr="0005164C" w:rsidSect="00631FF8">
          <w:pgSz w:w="11909" w:h="16834" w:code="9"/>
          <w:pgMar w:top="568" w:right="734" w:bottom="2434" w:left="734" w:header="720" w:footer="720" w:gutter="0"/>
          <w:cols w:space="720"/>
          <w:docGrid w:linePitch="360"/>
        </w:sectPr>
      </w:pPr>
    </w:p>
    <w:p w:rsidR="001A52CE" w:rsidRPr="00631FF8" w:rsidRDefault="00631FF8" w:rsidP="00631FF8">
      <w:pPr>
        <w:spacing w:line="360" w:lineRule="auto"/>
        <w:jc w:val="both"/>
        <w:rPr>
          <w:b/>
          <w:bCs/>
          <w:color w:val="222222"/>
          <w:sz w:val="28"/>
          <w:szCs w:val="28"/>
          <w:shd w:val="clear" w:color="auto" w:fill="FFFFFF"/>
        </w:rPr>
      </w:pPr>
      <w:r w:rsidRPr="00EB4515">
        <w:rPr>
          <w:b/>
          <w:bCs/>
          <w:sz w:val="28"/>
          <w:szCs w:val="28"/>
        </w:rPr>
        <w:lastRenderedPageBreak/>
        <w:t xml:space="preserve">Development of vaccine against </w:t>
      </w:r>
      <w:r w:rsidRPr="00EB4515">
        <w:rPr>
          <w:b/>
          <w:bCs/>
          <w:i/>
          <w:iCs/>
          <w:color w:val="222222"/>
          <w:sz w:val="28"/>
          <w:szCs w:val="28"/>
          <w:shd w:val="clear" w:color="auto" w:fill="FFFFFF"/>
        </w:rPr>
        <w:t xml:space="preserve">Helicobacter pylori </w:t>
      </w:r>
      <w:r w:rsidRPr="00EB4515">
        <w:rPr>
          <w:b/>
          <w:bCs/>
          <w:color w:val="222222"/>
          <w:sz w:val="28"/>
          <w:szCs w:val="28"/>
          <w:shd w:val="clear" w:color="auto" w:fill="FFFFFF"/>
        </w:rPr>
        <w:t>using Bioinformatics approaches</w:t>
      </w:r>
      <w:r>
        <w:rPr>
          <w:b/>
          <w:bCs/>
          <w:color w:val="222222"/>
          <w:sz w:val="28"/>
          <w:szCs w:val="28"/>
          <w:shd w:val="clear" w:color="auto" w:fill="FFFFFF"/>
        </w:rPr>
        <w:t>:</w:t>
      </w:r>
    </w:p>
    <w:p w:rsidR="00631FF8" w:rsidRPr="004650B0" w:rsidRDefault="00631FF8" w:rsidP="00631FF8">
      <w:pPr>
        <w:spacing w:line="360" w:lineRule="auto"/>
        <w:jc w:val="both"/>
        <w:rPr>
          <w:b/>
          <w:bCs/>
          <w:color w:val="222222"/>
          <w:sz w:val="24"/>
          <w:szCs w:val="24"/>
          <w:shd w:val="clear" w:color="auto" w:fill="FFFFFF"/>
        </w:rPr>
      </w:pPr>
      <w:proofErr w:type="spellStart"/>
      <w:r w:rsidRPr="004650B0">
        <w:rPr>
          <w:sz w:val="24"/>
          <w:szCs w:val="24"/>
        </w:rPr>
        <w:t>Abid</w:t>
      </w:r>
      <w:proofErr w:type="spellEnd"/>
      <w:r w:rsidRPr="004650B0">
        <w:rPr>
          <w:sz w:val="24"/>
          <w:szCs w:val="24"/>
        </w:rPr>
        <w:t xml:space="preserve"> Qureshi</w:t>
      </w:r>
      <w:r>
        <w:rPr>
          <w:sz w:val="24"/>
          <w:szCs w:val="24"/>
          <w:vertAlign w:val="superscript"/>
        </w:rPr>
        <w:t>1</w:t>
      </w:r>
      <w:r w:rsidRPr="004650B0">
        <w:rPr>
          <w:sz w:val="24"/>
          <w:szCs w:val="24"/>
        </w:rPr>
        <w:t xml:space="preserve">, </w:t>
      </w:r>
      <w:proofErr w:type="spellStart"/>
      <w:r w:rsidRPr="004650B0">
        <w:rPr>
          <w:sz w:val="24"/>
          <w:szCs w:val="24"/>
        </w:rPr>
        <w:t>Vaqar</w:t>
      </w:r>
      <w:proofErr w:type="spellEnd"/>
      <w:r w:rsidRPr="004650B0">
        <w:rPr>
          <w:sz w:val="24"/>
          <w:szCs w:val="24"/>
        </w:rPr>
        <w:t xml:space="preserve"> </w:t>
      </w:r>
      <w:proofErr w:type="spellStart"/>
      <w:r w:rsidRPr="004650B0">
        <w:rPr>
          <w:sz w:val="24"/>
          <w:szCs w:val="24"/>
        </w:rPr>
        <w:t>Gani</w:t>
      </w:r>
      <w:proofErr w:type="spellEnd"/>
      <w:r w:rsidRPr="004650B0">
        <w:rPr>
          <w:sz w:val="24"/>
          <w:szCs w:val="24"/>
        </w:rPr>
        <w:t xml:space="preserve"> Tantray</w:t>
      </w:r>
      <w:r>
        <w:rPr>
          <w:sz w:val="24"/>
          <w:szCs w:val="24"/>
          <w:vertAlign w:val="superscript"/>
        </w:rPr>
        <w:t>1</w:t>
      </w:r>
      <w:r w:rsidRPr="004650B0">
        <w:rPr>
          <w:sz w:val="24"/>
          <w:szCs w:val="24"/>
        </w:rPr>
        <w:t>,</w:t>
      </w:r>
      <w:r>
        <w:rPr>
          <w:sz w:val="24"/>
          <w:szCs w:val="24"/>
        </w:rPr>
        <w:t xml:space="preserve"> </w:t>
      </w:r>
      <w:r w:rsidRPr="004650B0">
        <w:rPr>
          <w:sz w:val="24"/>
          <w:szCs w:val="24"/>
        </w:rPr>
        <w:t xml:space="preserve">Omar </w:t>
      </w:r>
      <w:proofErr w:type="spellStart"/>
      <w:r w:rsidRPr="004650B0">
        <w:rPr>
          <w:sz w:val="24"/>
          <w:szCs w:val="24"/>
        </w:rPr>
        <w:t>Javed</w:t>
      </w:r>
      <w:proofErr w:type="spellEnd"/>
      <w:r w:rsidRPr="004650B0">
        <w:rPr>
          <w:sz w:val="24"/>
          <w:szCs w:val="24"/>
        </w:rPr>
        <w:t xml:space="preserve"> Shah</w:t>
      </w:r>
      <w:r>
        <w:rPr>
          <w:sz w:val="24"/>
          <w:szCs w:val="24"/>
          <w:vertAlign w:val="superscript"/>
        </w:rPr>
        <w:t>2</w:t>
      </w:r>
      <w:r>
        <w:rPr>
          <w:sz w:val="24"/>
          <w:szCs w:val="24"/>
        </w:rPr>
        <w:t xml:space="preserve">, M </w:t>
      </w:r>
      <w:proofErr w:type="spellStart"/>
      <w:r>
        <w:rPr>
          <w:sz w:val="24"/>
          <w:szCs w:val="24"/>
        </w:rPr>
        <w:t>Ashraf</w:t>
      </w:r>
      <w:proofErr w:type="spellEnd"/>
      <w:r>
        <w:rPr>
          <w:sz w:val="24"/>
          <w:szCs w:val="24"/>
        </w:rPr>
        <w:t xml:space="preserve"> Ghanie</w:t>
      </w:r>
      <w:r>
        <w:rPr>
          <w:sz w:val="24"/>
          <w:szCs w:val="24"/>
          <w:vertAlign w:val="superscript"/>
        </w:rPr>
        <w:t>3</w:t>
      </w:r>
      <w:r>
        <w:rPr>
          <w:sz w:val="24"/>
          <w:szCs w:val="24"/>
        </w:rPr>
        <w:t xml:space="preserve"> </w:t>
      </w:r>
    </w:p>
    <w:p w:rsidR="00631FF8" w:rsidRDefault="001A52CE" w:rsidP="001A52CE">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631FF8">
        <w:rPr>
          <w:sz w:val="19"/>
          <w:szCs w:val="19"/>
          <w:lang w:val="en-IN" w:eastAsia="en-IN"/>
        </w:rPr>
        <w:t>Biomedical Informatics Centre, SKIMS, Srinagar, J&amp;K, India</w:t>
      </w:r>
      <w:r w:rsidRPr="00351E9B">
        <w:rPr>
          <w:sz w:val="19"/>
          <w:szCs w:val="19"/>
          <w:lang w:val="en-IN" w:eastAsia="en-IN"/>
        </w:rPr>
        <w:t>,</w:t>
      </w:r>
    </w:p>
    <w:p w:rsidR="00631FF8" w:rsidRPr="00351E9B" w:rsidRDefault="00631FF8" w:rsidP="001A52CE">
      <w:pPr>
        <w:shd w:val="clear" w:color="auto" w:fill="FFFFFF"/>
        <w:jc w:val="both"/>
        <w:rPr>
          <w:sz w:val="19"/>
          <w:szCs w:val="19"/>
          <w:lang w:val="en-IN" w:eastAsia="en-IN"/>
        </w:rPr>
      </w:pPr>
      <w:r w:rsidRPr="00351E9B">
        <w:rPr>
          <w:sz w:val="19"/>
          <w:szCs w:val="19"/>
          <w:vertAlign w:val="superscript"/>
          <w:lang w:val="en-IN" w:eastAsia="en-IN"/>
        </w:rPr>
        <w:t>1</w:t>
      </w:r>
      <w:r w:rsidRPr="00351E9B">
        <w:rPr>
          <w:sz w:val="19"/>
          <w:szCs w:val="19"/>
          <w:lang w:val="en-IN" w:eastAsia="en-IN"/>
        </w:rPr>
        <w:t xml:space="preserve">Department of </w:t>
      </w:r>
      <w:r>
        <w:rPr>
          <w:sz w:val="19"/>
          <w:szCs w:val="19"/>
          <w:lang w:val="en-IN" w:eastAsia="en-IN"/>
        </w:rPr>
        <w:t>Biomedical Informatics Centre, SKIMS, Srinagar, J&amp;K, India</w:t>
      </w:r>
      <w:r w:rsidRPr="00351E9B">
        <w:rPr>
          <w:sz w:val="19"/>
          <w:szCs w:val="19"/>
          <w:lang w:val="en-IN" w:eastAsia="en-IN"/>
        </w:rPr>
        <w:t xml:space="preserve">, </w:t>
      </w:r>
    </w:p>
    <w:p w:rsidR="001A52CE" w:rsidRDefault="001A52CE" w:rsidP="001A52CE">
      <w:pPr>
        <w:shd w:val="clear" w:color="auto" w:fill="FFFFFF"/>
        <w:jc w:val="both"/>
        <w:rPr>
          <w:sz w:val="19"/>
          <w:szCs w:val="19"/>
          <w:lang w:val="en-IN" w:eastAsia="en-IN"/>
        </w:rPr>
      </w:pPr>
      <w:proofErr w:type="gramStart"/>
      <w:r w:rsidRPr="00351E9B">
        <w:rPr>
          <w:sz w:val="19"/>
          <w:szCs w:val="19"/>
          <w:vertAlign w:val="superscript"/>
          <w:lang w:val="en-IN" w:eastAsia="en-IN"/>
        </w:rPr>
        <w:t>2</w:t>
      </w:r>
      <w:bookmarkStart w:id="1" w:name="a2"/>
      <w:bookmarkEnd w:id="1"/>
      <w:r w:rsidRPr="00351E9B">
        <w:rPr>
          <w:sz w:val="19"/>
          <w:szCs w:val="19"/>
          <w:lang w:val="en-IN" w:eastAsia="en-IN"/>
        </w:rPr>
        <w:t xml:space="preserve">Department of </w:t>
      </w:r>
      <w:r w:rsidR="00631FF8">
        <w:rPr>
          <w:sz w:val="19"/>
          <w:szCs w:val="19"/>
          <w:lang w:val="en-IN" w:eastAsia="en-IN"/>
        </w:rPr>
        <w:t xml:space="preserve">Surgical </w:t>
      </w:r>
      <w:proofErr w:type="spellStart"/>
      <w:r w:rsidR="00631FF8">
        <w:rPr>
          <w:sz w:val="19"/>
          <w:szCs w:val="19"/>
          <w:lang w:val="en-IN" w:eastAsia="en-IN"/>
        </w:rPr>
        <w:t>Gastroentrology</w:t>
      </w:r>
      <w:proofErr w:type="spellEnd"/>
      <w:r w:rsidR="00631FF8">
        <w:rPr>
          <w:sz w:val="19"/>
          <w:szCs w:val="19"/>
          <w:lang w:val="en-IN" w:eastAsia="en-IN"/>
        </w:rPr>
        <w:t>, SKIMS, Srinagar, J&amp;K, India.</w:t>
      </w:r>
      <w:proofErr w:type="gramEnd"/>
    </w:p>
    <w:p w:rsidR="00631FF8" w:rsidRDefault="00631FF8" w:rsidP="00631FF8">
      <w:pPr>
        <w:shd w:val="clear" w:color="auto" w:fill="FFFFFF"/>
        <w:jc w:val="both"/>
        <w:rPr>
          <w:sz w:val="19"/>
          <w:szCs w:val="19"/>
          <w:lang w:val="en-IN" w:eastAsia="en-IN"/>
        </w:rPr>
      </w:pPr>
      <w:proofErr w:type="gramStart"/>
      <w:r w:rsidRPr="00351E9B">
        <w:rPr>
          <w:sz w:val="19"/>
          <w:szCs w:val="19"/>
          <w:vertAlign w:val="superscript"/>
          <w:lang w:val="en-IN" w:eastAsia="en-IN"/>
        </w:rPr>
        <w:t>2</w:t>
      </w:r>
      <w:r w:rsidRPr="00351E9B">
        <w:rPr>
          <w:sz w:val="19"/>
          <w:szCs w:val="19"/>
          <w:lang w:val="en-IN" w:eastAsia="en-IN"/>
        </w:rPr>
        <w:t xml:space="preserve">Department of </w:t>
      </w:r>
      <w:r>
        <w:rPr>
          <w:sz w:val="19"/>
          <w:szCs w:val="19"/>
          <w:lang w:val="en-IN" w:eastAsia="en-IN"/>
        </w:rPr>
        <w:t>Endocrinology, SKIMS, Srinagar, J&amp;K, India.</w:t>
      </w:r>
      <w:proofErr w:type="gramEnd"/>
    </w:p>
    <w:p w:rsidR="00631FF8" w:rsidRDefault="00631FF8" w:rsidP="001A52CE">
      <w:pPr>
        <w:shd w:val="clear" w:color="auto" w:fill="FFFFFF"/>
        <w:jc w:val="both"/>
        <w:rPr>
          <w:sz w:val="19"/>
          <w:szCs w:val="19"/>
          <w:lang w:val="en-IN" w:eastAsia="en-IN"/>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B57E4" w:rsidRDefault="001A52CE" w:rsidP="000B57E4">
      <w:pPr>
        <w:spacing w:line="360" w:lineRule="auto"/>
        <w:jc w:val="both"/>
        <w:rPr>
          <w:sz w:val="19"/>
          <w:szCs w:val="19"/>
        </w:rPr>
      </w:pPr>
      <w:r w:rsidRPr="000B57E4">
        <w:rPr>
          <w:b/>
          <w:sz w:val="19"/>
          <w:szCs w:val="19"/>
        </w:rPr>
        <w:lastRenderedPageBreak/>
        <w:t>Keywords:</w:t>
      </w:r>
      <w:r w:rsidRPr="000B57E4">
        <w:rPr>
          <w:sz w:val="19"/>
          <w:szCs w:val="19"/>
        </w:rPr>
        <w:t xml:space="preserve"> </w:t>
      </w:r>
      <w:r w:rsidR="00631FF8" w:rsidRPr="000B57E4">
        <w:rPr>
          <w:sz w:val="19"/>
          <w:szCs w:val="19"/>
        </w:rPr>
        <w:t>Helicobacter pylori, Vaccine, Bioinformatics</w:t>
      </w:r>
    </w:p>
    <w:p w:rsidR="001A52CE" w:rsidRPr="0005164C" w:rsidRDefault="001A52CE" w:rsidP="00631FF8">
      <w:pPr>
        <w:pStyle w:val="keywords"/>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631FF8" w:rsidRPr="00631FF8" w:rsidRDefault="00631FF8" w:rsidP="00631FF8">
      <w:pPr>
        <w:spacing w:line="360" w:lineRule="auto"/>
        <w:jc w:val="both"/>
        <w:rPr>
          <w:color w:val="000000" w:themeColor="text1"/>
          <w:sz w:val="24"/>
          <w:szCs w:val="24"/>
        </w:rPr>
      </w:pPr>
      <w:r w:rsidRPr="00631FF8">
        <w:rPr>
          <w:sz w:val="19"/>
          <w:szCs w:val="19"/>
        </w:rPr>
        <w:t xml:space="preserve">Helicobacter pylori (H. pylori) are a widespread kind of bacteria which flourish in the digestive tract and have a propensity to damage the stomach lining. The microbe infects around 60% of the adults globally. H. pylori infections are responsible for most of stomach and small intestine ulcers. Using Bioinformatics approaches, we have identified certain proteins that contain the virulence factors, resistance factors and essentiality factor for this pathogen. Computational tools and servers were used for the identification of MHC class I, II and B cell </w:t>
      </w:r>
      <w:proofErr w:type="spellStart"/>
      <w:r w:rsidRPr="00631FF8">
        <w:rPr>
          <w:sz w:val="19"/>
          <w:szCs w:val="19"/>
        </w:rPr>
        <w:t>epitopes</w:t>
      </w:r>
      <w:proofErr w:type="spellEnd"/>
      <w:r w:rsidRPr="00631FF8">
        <w:rPr>
          <w:sz w:val="19"/>
          <w:szCs w:val="19"/>
        </w:rPr>
        <w:t xml:space="preserve">. All selected </w:t>
      </w:r>
      <w:proofErr w:type="spellStart"/>
      <w:r w:rsidRPr="00631FF8">
        <w:rPr>
          <w:sz w:val="19"/>
          <w:szCs w:val="19"/>
        </w:rPr>
        <w:t>epitopes</w:t>
      </w:r>
      <w:proofErr w:type="spellEnd"/>
      <w:r w:rsidRPr="00631FF8">
        <w:rPr>
          <w:sz w:val="19"/>
          <w:szCs w:val="19"/>
        </w:rPr>
        <w:t xml:space="preserve"> were further shortlisted computationally to know their immunogenicity, </w:t>
      </w:r>
      <w:proofErr w:type="spellStart"/>
      <w:r w:rsidRPr="00631FF8">
        <w:rPr>
          <w:sz w:val="19"/>
          <w:szCs w:val="19"/>
        </w:rPr>
        <w:t>antigenicity</w:t>
      </w:r>
      <w:proofErr w:type="spellEnd"/>
      <w:r w:rsidRPr="00631FF8">
        <w:rPr>
          <w:sz w:val="19"/>
          <w:szCs w:val="19"/>
        </w:rPr>
        <w:t xml:space="preserve">, </w:t>
      </w:r>
      <w:proofErr w:type="spellStart"/>
      <w:r w:rsidRPr="00631FF8">
        <w:rPr>
          <w:sz w:val="19"/>
          <w:szCs w:val="19"/>
        </w:rPr>
        <w:t>allergenicity</w:t>
      </w:r>
      <w:proofErr w:type="spellEnd"/>
      <w:r w:rsidRPr="00631FF8">
        <w:rPr>
          <w:sz w:val="19"/>
          <w:szCs w:val="19"/>
        </w:rPr>
        <w:t>, conservancy and toxicity potentials. Designed vaccine construct was docked against multiple HLA targets employing virtual modeling. Therefore the designated vaccine constructs may</w:t>
      </w:r>
      <w:r w:rsidRPr="00631FF8">
        <w:rPr>
          <w:color w:val="000000" w:themeColor="text1"/>
          <w:spacing w:val="3"/>
          <w:sz w:val="24"/>
          <w:szCs w:val="24"/>
          <w:shd w:val="clear" w:color="auto" w:fill="FFFFFF"/>
        </w:rPr>
        <w:t xml:space="preserve"> </w:t>
      </w:r>
      <w:r w:rsidRPr="00631FF8">
        <w:rPr>
          <w:sz w:val="19"/>
          <w:szCs w:val="19"/>
        </w:rPr>
        <w:t>be developed to control the infection caused by H. pylori.</w:t>
      </w:r>
    </w:p>
    <w:p w:rsidR="001A52CE" w:rsidRDefault="001A52CE" w:rsidP="001A52CE">
      <w:pPr>
        <w:jc w:val="both"/>
        <w:rPr>
          <w:sz w:val="19"/>
          <w:szCs w:val="19"/>
          <w:lang w:val="en-IN" w:eastAsia="en-IN"/>
        </w:rPr>
      </w:pPr>
    </w:p>
    <w:p w:rsidR="001A52CE" w:rsidRDefault="008B700E" w:rsidP="008B700E">
      <w:pPr>
        <w:numPr>
          <w:ilvl w:val="0"/>
          <w:numId w:val="2"/>
        </w:numPr>
        <w:ind w:left="851" w:hanging="425"/>
        <w:jc w:val="both"/>
        <w:rPr>
          <w:b/>
          <w:sz w:val="19"/>
          <w:szCs w:val="19"/>
        </w:rPr>
      </w:pPr>
      <w:r>
        <w:rPr>
          <w:b/>
          <w:sz w:val="19"/>
          <w:szCs w:val="19"/>
        </w:rPr>
        <w:t xml:space="preserve">                 </w:t>
      </w:r>
      <w:r w:rsidR="001A52CE" w:rsidRPr="0005164C">
        <w:rPr>
          <w:b/>
          <w:sz w:val="19"/>
          <w:szCs w:val="19"/>
        </w:rPr>
        <w:t>Image:</w:t>
      </w:r>
    </w:p>
    <w:p w:rsidR="00631FF8" w:rsidRPr="0005164C" w:rsidRDefault="000B57E4" w:rsidP="000B57E4">
      <w:pPr>
        <w:jc w:val="both"/>
        <w:rPr>
          <w:b/>
          <w:sz w:val="19"/>
          <w:szCs w:val="19"/>
        </w:rPr>
      </w:pPr>
      <w:r>
        <w:rPr>
          <w:b/>
          <w:noProof/>
          <w:sz w:val="19"/>
          <w:szCs w:val="19"/>
          <w:lang w:val="en-IN" w:eastAsia="en-IN"/>
        </w:rPr>
        <w:drawing>
          <wp:inline distT="0" distB="0" distL="0" distR="0">
            <wp:extent cx="2847975" cy="12858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847975" cy="1285875"/>
                    </a:xfrm>
                    <a:prstGeom prst="rect">
                      <a:avLst/>
                    </a:prstGeom>
                    <a:noFill/>
                    <a:ln w="9525">
                      <a:noFill/>
                      <a:miter lim="800000"/>
                      <a:headEnd/>
                      <a:tailEnd/>
                    </a:ln>
                  </pic:spPr>
                </pic:pic>
              </a:graphicData>
            </a:graphic>
          </wp:inline>
        </w:drawing>
      </w:r>
    </w:p>
    <w:p w:rsidR="001A52CE" w:rsidRPr="0005164C" w:rsidRDefault="001A52CE" w:rsidP="001A52CE">
      <w:pPr>
        <w:rPr>
          <w:sz w:val="19"/>
          <w:szCs w:val="19"/>
        </w:rPr>
      </w:pPr>
    </w:p>
    <w:p w:rsidR="001A52CE" w:rsidRPr="0005164C" w:rsidRDefault="001A52CE" w:rsidP="001A52CE">
      <w:pPr>
        <w:pStyle w:val="BodyText"/>
        <w:ind w:firstLine="0"/>
        <w:rPr>
          <w:sz w:val="19"/>
          <w:szCs w:val="19"/>
        </w:rPr>
      </w:pPr>
    </w:p>
    <w:p w:rsidR="001A52CE" w:rsidRPr="0005164C" w:rsidRDefault="001A52CE" w:rsidP="001A52CE">
      <w:pPr>
        <w:pStyle w:val="BodyText"/>
        <w:jc w:val="left"/>
        <w:rPr>
          <w:sz w:val="19"/>
          <w:szCs w:val="19"/>
        </w:rPr>
      </w:pPr>
    </w:p>
    <w:p w:rsidR="001A52CE" w:rsidRPr="0005164C" w:rsidRDefault="001A52CE" w:rsidP="00631FF8">
      <w:pPr>
        <w:pStyle w:val="BodyText"/>
        <w:numPr>
          <w:ilvl w:val="0"/>
          <w:numId w:val="2"/>
        </w:numPr>
        <w:ind w:hanging="1288"/>
        <w:jc w:val="left"/>
        <w:rPr>
          <w:b/>
          <w:sz w:val="19"/>
          <w:szCs w:val="19"/>
        </w:rPr>
      </w:pPr>
      <w:r w:rsidRPr="0005164C">
        <w:rPr>
          <w:b/>
          <w:sz w:val="19"/>
          <w:szCs w:val="19"/>
        </w:rPr>
        <w:t>Reference:</w:t>
      </w:r>
    </w:p>
    <w:p w:rsidR="00631FF8" w:rsidRPr="008B700E" w:rsidRDefault="00631FF8" w:rsidP="008B700E">
      <w:pPr>
        <w:pStyle w:val="ListParagraph"/>
        <w:numPr>
          <w:ilvl w:val="0"/>
          <w:numId w:val="5"/>
        </w:numPr>
        <w:ind w:left="0" w:firstLine="0"/>
        <w:jc w:val="both"/>
        <w:rPr>
          <w:rFonts w:ascii="Calibri" w:hAnsi="Calibri" w:cs="Calibri"/>
          <w:noProof/>
          <w:szCs w:val="24"/>
          <w:lang w:eastAsia="en-IN"/>
        </w:rPr>
      </w:pPr>
      <w:bookmarkStart w:id="2" w:name="2"/>
      <w:bookmarkEnd w:id="2"/>
      <w:r w:rsidRPr="008B700E">
        <w:rPr>
          <w:rFonts w:ascii="Calibri" w:hAnsi="Calibri" w:cs="Calibri"/>
          <w:noProof/>
          <w:szCs w:val="24"/>
          <w:lang w:eastAsia="en-IN"/>
        </w:rPr>
        <w:t xml:space="preserve">Zamani, M., et al., </w:t>
      </w:r>
      <w:r w:rsidRPr="008B700E">
        <w:rPr>
          <w:rFonts w:ascii="Calibri" w:hAnsi="Calibri" w:cs="Calibri"/>
          <w:i/>
          <w:noProof/>
          <w:szCs w:val="24"/>
          <w:lang w:eastAsia="en-IN"/>
        </w:rPr>
        <w:t>Systematic review with meta-analysis: the worldwide prevalence of Helicobacter pylori infection.</w:t>
      </w:r>
      <w:r w:rsidRPr="008B700E">
        <w:rPr>
          <w:rFonts w:ascii="Calibri" w:hAnsi="Calibri" w:cs="Calibri"/>
          <w:noProof/>
          <w:szCs w:val="24"/>
          <w:lang w:eastAsia="en-IN"/>
        </w:rPr>
        <w:t xml:space="preserve"> Aliment Pharmacol Ther, 2018. </w:t>
      </w:r>
      <w:r w:rsidRPr="008B700E">
        <w:rPr>
          <w:rFonts w:ascii="Calibri" w:hAnsi="Calibri" w:cs="Calibri"/>
          <w:b/>
          <w:noProof/>
          <w:szCs w:val="24"/>
          <w:lang w:eastAsia="en-IN"/>
        </w:rPr>
        <w:t>47</w:t>
      </w:r>
      <w:r w:rsidRPr="008B700E">
        <w:rPr>
          <w:rFonts w:ascii="Calibri" w:hAnsi="Calibri" w:cs="Calibri"/>
          <w:noProof/>
          <w:szCs w:val="24"/>
          <w:lang w:eastAsia="en-IN"/>
        </w:rPr>
        <w:t>(7): p. 868-876.</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t>2.</w:t>
      </w:r>
      <w:r w:rsidRPr="00631FF8">
        <w:rPr>
          <w:rFonts w:ascii="Calibri" w:hAnsi="Calibri" w:cs="Calibri"/>
          <w:noProof/>
          <w:szCs w:val="24"/>
          <w:lang w:eastAsia="en-IN"/>
        </w:rPr>
        <w:tab/>
        <w:t xml:space="preserve">Diaconu, S., et al., </w:t>
      </w:r>
      <w:r w:rsidRPr="00631FF8">
        <w:rPr>
          <w:rFonts w:ascii="Calibri" w:hAnsi="Calibri" w:cs="Calibri"/>
          <w:i/>
          <w:noProof/>
          <w:szCs w:val="24"/>
          <w:lang w:eastAsia="en-IN"/>
        </w:rPr>
        <w:t>Helicobacter pylori infection: old and new.</w:t>
      </w:r>
      <w:r w:rsidRPr="00631FF8">
        <w:rPr>
          <w:rFonts w:ascii="Calibri" w:hAnsi="Calibri" w:cs="Calibri"/>
          <w:noProof/>
          <w:szCs w:val="24"/>
          <w:lang w:eastAsia="en-IN"/>
        </w:rPr>
        <w:t xml:space="preserve"> J Med Life, 2017. </w:t>
      </w:r>
      <w:r w:rsidRPr="00631FF8">
        <w:rPr>
          <w:rFonts w:ascii="Calibri" w:hAnsi="Calibri" w:cs="Calibri"/>
          <w:b/>
          <w:noProof/>
          <w:szCs w:val="24"/>
          <w:lang w:eastAsia="en-IN"/>
        </w:rPr>
        <w:t>10</w:t>
      </w:r>
      <w:r w:rsidRPr="00631FF8">
        <w:rPr>
          <w:rFonts w:ascii="Calibri" w:hAnsi="Calibri" w:cs="Calibri"/>
          <w:noProof/>
          <w:szCs w:val="24"/>
          <w:lang w:eastAsia="en-IN"/>
        </w:rPr>
        <w:t>(2): p. 112-117.</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t>3.</w:t>
      </w:r>
      <w:r w:rsidRPr="00631FF8">
        <w:rPr>
          <w:rFonts w:ascii="Calibri" w:hAnsi="Calibri" w:cs="Calibri"/>
          <w:noProof/>
          <w:szCs w:val="24"/>
          <w:lang w:eastAsia="en-IN"/>
        </w:rPr>
        <w:tab/>
        <w:t xml:space="preserve">Burucoa, C. and A. Axon, </w:t>
      </w:r>
      <w:r w:rsidRPr="00631FF8">
        <w:rPr>
          <w:rFonts w:ascii="Calibri" w:hAnsi="Calibri" w:cs="Calibri"/>
          <w:i/>
          <w:noProof/>
          <w:szCs w:val="24"/>
          <w:lang w:eastAsia="en-IN"/>
        </w:rPr>
        <w:t>Epidemiology of Helicobacter pylori infection.</w:t>
      </w:r>
      <w:r w:rsidRPr="00631FF8">
        <w:rPr>
          <w:rFonts w:ascii="Calibri" w:hAnsi="Calibri" w:cs="Calibri"/>
          <w:noProof/>
          <w:szCs w:val="24"/>
          <w:lang w:eastAsia="en-IN"/>
        </w:rPr>
        <w:t xml:space="preserve"> Helicobacter, 2017. </w:t>
      </w:r>
      <w:r w:rsidRPr="00631FF8">
        <w:rPr>
          <w:rFonts w:ascii="Calibri" w:hAnsi="Calibri" w:cs="Calibri"/>
          <w:b/>
          <w:noProof/>
          <w:szCs w:val="24"/>
          <w:lang w:eastAsia="en-IN"/>
        </w:rPr>
        <w:t>22 Suppl 1</w:t>
      </w:r>
      <w:r w:rsidRPr="00631FF8">
        <w:rPr>
          <w:rFonts w:ascii="Calibri" w:hAnsi="Calibri" w:cs="Calibri"/>
          <w:noProof/>
          <w:szCs w:val="24"/>
          <w:lang w:eastAsia="en-IN"/>
        </w:rPr>
        <w:t>.</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lastRenderedPageBreak/>
        <w:t>4.</w:t>
      </w:r>
      <w:r w:rsidRPr="00631FF8">
        <w:rPr>
          <w:rFonts w:ascii="Calibri" w:hAnsi="Calibri" w:cs="Calibri"/>
          <w:noProof/>
          <w:szCs w:val="24"/>
          <w:lang w:eastAsia="en-IN"/>
        </w:rPr>
        <w:tab/>
        <w:t xml:space="preserve">Hooi, J.K.Y., et al., </w:t>
      </w:r>
      <w:r w:rsidRPr="00631FF8">
        <w:rPr>
          <w:rFonts w:ascii="Calibri" w:hAnsi="Calibri" w:cs="Calibri"/>
          <w:i/>
          <w:noProof/>
          <w:szCs w:val="24"/>
          <w:lang w:eastAsia="en-IN"/>
        </w:rPr>
        <w:t>Global Prevalence of Helicobacter pylori Infection: Systematic Review and Meta-Analysis.</w:t>
      </w:r>
      <w:r w:rsidRPr="00631FF8">
        <w:rPr>
          <w:rFonts w:ascii="Calibri" w:hAnsi="Calibri" w:cs="Calibri"/>
          <w:noProof/>
          <w:szCs w:val="24"/>
          <w:lang w:eastAsia="en-IN"/>
        </w:rPr>
        <w:t xml:space="preserve"> Gastroenterology, 2017. </w:t>
      </w:r>
      <w:r w:rsidRPr="00631FF8">
        <w:rPr>
          <w:rFonts w:ascii="Calibri" w:hAnsi="Calibri" w:cs="Calibri"/>
          <w:b/>
          <w:noProof/>
          <w:szCs w:val="24"/>
          <w:lang w:eastAsia="en-IN"/>
        </w:rPr>
        <w:t>153</w:t>
      </w:r>
      <w:r w:rsidRPr="00631FF8">
        <w:rPr>
          <w:rFonts w:ascii="Calibri" w:hAnsi="Calibri" w:cs="Calibri"/>
          <w:noProof/>
          <w:szCs w:val="24"/>
          <w:lang w:eastAsia="en-IN"/>
        </w:rPr>
        <w:t>(2): p. 420-429.</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t>5.</w:t>
      </w:r>
      <w:r w:rsidRPr="00631FF8">
        <w:rPr>
          <w:rFonts w:ascii="Calibri" w:hAnsi="Calibri" w:cs="Calibri"/>
          <w:noProof/>
          <w:szCs w:val="24"/>
          <w:lang w:eastAsia="en-IN"/>
        </w:rPr>
        <w:tab/>
        <w:t xml:space="preserve">Sutton, P. and J.M. Boag, </w:t>
      </w:r>
      <w:r w:rsidRPr="00631FF8">
        <w:rPr>
          <w:rFonts w:ascii="Calibri" w:hAnsi="Calibri" w:cs="Calibri"/>
          <w:i/>
          <w:noProof/>
          <w:szCs w:val="24"/>
          <w:lang w:eastAsia="en-IN"/>
        </w:rPr>
        <w:t>Status of vaccine research and development for Helicobacter pylori.</w:t>
      </w:r>
      <w:r w:rsidRPr="00631FF8">
        <w:rPr>
          <w:rFonts w:ascii="Calibri" w:hAnsi="Calibri" w:cs="Calibri"/>
          <w:noProof/>
          <w:szCs w:val="24"/>
          <w:lang w:eastAsia="en-IN"/>
        </w:rPr>
        <w:t xml:space="preserve"> Vaccine, 2018.</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t>6.</w:t>
      </w:r>
      <w:r w:rsidRPr="00631FF8">
        <w:rPr>
          <w:rFonts w:ascii="Calibri" w:hAnsi="Calibri" w:cs="Calibri"/>
          <w:noProof/>
          <w:szCs w:val="24"/>
          <w:lang w:eastAsia="en-IN"/>
        </w:rPr>
        <w:tab/>
        <w:t xml:space="preserve">Sutton, P. and C. Doidge, </w:t>
      </w:r>
      <w:r w:rsidRPr="00631FF8">
        <w:rPr>
          <w:rFonts w:ascii="Calibri" w:hAnsi="Calibri" w:cs="Calibri"/>
          <w:i/>
          <w:noProof/>
          <w:szCs w:val="24"/>
          <w:lang w:eastAsia="en-IN"/>
        </w:rPr>
        <w:t>Helicobacter pylori vaccines spiral into the new millennium.</w:t>
      </w:r>
      <w:r w:rsidRPr="00631FF8">
        <w:rPr>
          <w:rFonts w:ascii="Calibri" w:hAnsi="Calibri" w:cs="Calibri"/>
          <w:noProof/>
          <w:szCs w:val="24"/>
          <w:lang w:eastAsia="en-IN"/>
        </w:rPr>
        <w:t xml:space="preserve"> Dig Liver Dis, 2003. </w:t>
      </w:r>
      <w:r w:rsidRPr="00631FF8">
        <w:rPr>
          <w:rFonts w:ascii="Calibri" w:hAnsi="Calibri" w:cs="Calibri"/>
          <w:b/>
          <w:noProof/>
          <w:szCs w:val="24"/>
          <w:lang w:eastAsia="en-IN"/>
        </w:rPr>
        <w:t>35</w:t>
      </w:r>
      <w:r w:rsidRPr="00631FF8">
        <w:rPr>
          <w:rFonts w:ascii="Calibri" w:hAnsi="Calibri" w:cs="Calibri"/>
          <w:noProof/>
          <w:szCs w:val="24"/>
          <w:lang w:eastAsia="en-IN"/>
        </w:rPr>
        <w:t>(10): p. 675-87.</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t>7.</w:t>
      </w:r>
      <w:r w:rsidRPr="00631FF8">
        <w:rPr>
          <w:rFonts w:ascii="Calibri" w:hAnsi="Calibri" w:cs="Calibri"/>
          <w:noProof/>
          <w:szCs w:val="24"/>
          <w:lang w:eastAsia="en-IN"/>
        </w:rPr>
        <w:tab/>
        <w:t xml:space="preserve">Malfertheiner, P., et al., </w:t>
      </w:r>
      <w:r w:rsidRPr="00631FF8">
        <w:rPr>
          <w:rFonts w:ascii="Calibri" w:hAnsi="Calibri" w:cs="Calibri"/>
          <w:i/>
          <w:noProof/>
          <w:szCs w:val="24"/>
          <w:lang w:eastAsia="en-IN"/>
        </w:rPr>
        <w:t>Safety and immunogenicity of an intramuscular Helicobacter pylori vaccine in noninfected volunteers: a phase I study.</w:t>
      </w:r>
      <w:r w:rsidRPr="00631FF8">
        <w:rPr>
          <w:rFonts w:ascii="Calibri" w:hAnsi="Calibri" w:cs="Calibri"/>
          <w:noProof/>
          <w:szCs w:val="24"/>
          <w:lang w:eastAsia="en-IN"/>
        </w:rPr>
        <w:t xml:space="preserve"> Gastroenterology, 2008. </w:t>
      </w:r>
      <w:r w:rsidRPr="00631FF8">
        <w:rPr>
          <w:rFonts w:ascii="Calibri" w:hAnsi="Calibri" w:cs="Calibri"/>
          <w:b/>
          <w:noProof/>
          <w:szCs w:val="24"/>
          <w:lang w:eastAsia="en-IN"/>
        </w:rPr>
        <w:t>135</w:t>
      </w:r>
      <w:r w:rsidRPr="00631FF8">
        <w:rPr>
          <w:rFonts w:ascii="Calibri" w:hAnsi="Calibri" w:cs="Calibri"/>
          <w:noProof/>
          <w:szCs w:val="24"/>
          <w:lang w:eastAsia="en-IN"/>
        </w:rPr>
        <w:t>(3): p. 787-95.</w:t>
      </w:r>
    </w:p>
    <w:p w:rsidR="00631FF8" w:rsidRPr="00631FF8" w:rsidRDefault="00631FF8" w:rsidP="00631FF8">
      <w:pPr>
        <w:jc w:val="both"/>
        <w:rPr>
          <w:rFonts w:ascii="Calibri" w:hAnsi="Calibri" w:cs="Calibri"/>
          <w:noProof/>
          <w:szCs w:val="24"/>
          <w:lang w:eastAsia="en-IN"/>
        </w:rPr>
      </w:pPr>
      <w:r w:rsidRPr="00631FF8">
        <w:rPr>
          <w:rFonts w:ascii="Calibri" w:hAnsi="Calibri" w:cs="Calibri"/>
          <w:noProof/>
          <w:szCs w:val="24"/>
          <w:lang w:eastAsia="en-IN"/>
        </w:rPr>
        <w:t>8.</w:t>
      </w:r>
      <w:r w:rsidRPr="00631FF8">
        <w:rPr>
          <w:rFonts w:ascii="Calibri" w:hAnsi="Calibri" w:cs="Calibri"/>
          <w:noProof/>
          <w:szCs w:val="24"/>
          <w:lang w:eastAsia="en-IN"/>
        </w:rPr>
        <w:tab/>
        <w:t xml:space="preserve">Li, X., et al., </w:t>
      </w:r>
      <w:r w:rsidRPr="00631FF8">
        <w:rPr>
          <w:rFonts w:ascii="Calibri" w:hAnsi="Calibri" w:cs="Calibri"/>
          <w:i/>
          <w:noProof/>
          <w:szCs w:val="24"/>
          <w:lang w:eastAsia="en-IN"/>
        </w:rPr>
        <w:t>Oral immunization with recombinant Lactococcus lactis delivering a multi-epitope antigen CTB-UE attenuates Helicobacter pylori infection in mice.</w:t>
      </w:r>
      <w:r w:rsidRPr="00631FF8">
        <w:rPr>
          <w:rFonts w:ascii="Calibri" w:hAnsi="Calibri" w:cs="Calibri"/>
          <w:noProof/>
          <w:szCs w:val="24"/>
          <w:lang w:eastAsia="en-IN"/>
        </w:rPr>
        <w:t xml:space="preserve"> Pathog Dis, 2014. </w:t>
      </w:r>
      <w:r w:rsidRPr="00631FF8">
        <w:rPr>
          <w:rFonts w:ascii="Calibri" w:hAnsi="Calibri" w:cs="Calibri"/>
          <w:b/>
          <w:noProof/>
          <w:szCs w:val="24"/>
          <w:lang w:eastAsia="en-IN"/>
        </w:rPr>
        <w:t>72</w:t>
      </w:r>
      <w:r w:rsidRPr="00631FF8">
        <w:rPr>
          <w:rFonts w:ascii="Calibri" w:hAnsi="Calibri" w:cs="Calibri"/>
          <w:noProof/>
          <w:szCs w:val="24"/>
          <w:lang w:eastAsia="en-IN"/>
        </w:rPr>
        <w:t>(1): p. 78-86.</w:t>
      </w:r>
    </w:p>
    <w:p w:rsidR="001A52CE" w:rsidRPr="0005164C" w:rsidRDefault="001A52CE" w:rsidP="00631FF8">
      <w:pPr>
        <w:numPr>
          <w:ilvl w:val="0"/>
          <w:numId w:val="4"/>
        </w:numPr>
        <w:shd w:val="clear" w:color="auto" w:fill="FFFFFF"/>
        <w:spacing w:before="100" w:beforeAutospacing="1" w:after="120"/>
        <w:jc w:val="left"/>
        <w:rPr>
          <w:b/>
          <w:sz w:val="19"/>
          <w:szCs w:val="19"/>
        </w:rPr>
      </w:pPr>
      <w:r w:rsidRPr="0005164C">
        <w:rPr>
          <w:b/>
          <w:sz w:val="19"/>
          <w:szCs w:val="19"/>
          <w:lang w:val="en-IN" w:eastAsia="en-IN"/>
        </w:rPr>
        <w:t>Biography:</w:t>
      </w:r>
    </w:p>
    <w:p w:rsidR="00631FF8" w:rsidRDefault="00631FF8" w:rsidP="001A52CE">
      <w:pPr>
        <w:jc w:val="both"/>
        <w:rPr>
          <w:sz w:val="19"/>
          <w:szCs w:val="19"/>
        </w:rPr>
      </w:pPr>
      <w:r>
        <w:rPr>
          <w:sz w:val="19"/>
          <w:szCs w:val="19"/>
        </w:rPr>
        <w:t xml:space="preserve">Mr. </w:t>
      </w:r>
      <w:proofErr w:type="spellStart"/>
      <w:r>
        <w:rPr>
          <w:sz w:val="19"/>
          <w:szCs w:val="19"/>
        </w:rPr>
        <w:t>Vaqar</w:t>
      </w:r>
      <w:proofErr w:type="spellEnd"/>
      <w:r>
        <w:rPr>
          <w:sz w:val="19"/>
          <w:szCs w:val="19"/>
        </w:rPr>
        <w:t xml:space="preserve"> </w:t>
      </w:r>
      <w:proofErr w:type="spellStart"/>
      <w:r>
        <w:rPr>
          <w:sz w:val="19"/>
          <w:szCs w:val="19"/>
        </w:rPr>
        <w:t>Tantray</w:t>
      </w:r>
      <w:proofErr w:type="spellEnd"/>
      <w:r>
        <w:rPr>
          <w:sz w:val="19"/>
          <w:szCs w:val="19"/>
        </w:rPr>
        <w:t xml:space="preserve">  has completed his </w:t>
      </w:r>
      <w:proofErr w:type="spellStart"/>
      <w:r>
        <w:rPr>
          <w:sz w:val="19"/>
          <w:szCs w:val="19"/>
        </w:rPr>
        <w:t>M.Tech</w:t>
      </w:r>
      <w:proofErr w:type="spellEnd"/>
      <w:r>
        <w:rPr>
          <w:sz w:val="19"/>
          <w:szCs w:val="19"/>
        </w:rPr>
        <w:t xml:space="preserve"> in Biomedical Informatics  at the age of 30</w:t>
      </w:r>
      <w:r w:rsidR="001A52CE" w:rsidRPr="0005164C">
        <w:rPr>
          <w:sz w:val="19"/>
          <w:szCs w:val="19"/>
        </w:rPr>
        <w:t xml:space="preserve"> years from </w:t>
      </w:r>
      <w:r>
        <w:rPr>
          <w:sz w:val="19"/>
          <w:szCs w:val="19"/>
        </w:rPr>
        <w:t xml:space="preserve">SRM </w:t>
      </w:r>
      <w:r w:rsidR="001A52CE" w:rsidRPr="0005164C">
        <w:rPr>
          <w:sz w:val="19"/>
          <w:szCs w:val="19"/>
        </w:rPr>
        <w:t>University</w:t>
      </w:r>
      <w:r>
        <w:rPr>
          <w:sz w:val="19"/>
          <w:szCs w:val="19"/>
        </w:rPr>
        <w:t xml:space="preserve">, Tamil Nadu , India </w:t>
      </w:r>
      <w:r w:rsidR="001A52CE" w:rsidRPr="0005164C">
        <w:rPr>
          <w:sz w:val="19"/>
          <w:szCs w:val="19"/>
        </w:rPr>
        <w:t xml:space="preserve"> He is the </w:t>
      </w:r>
      <w:r>
        <w:rPr>
          <w:sz w:val="19"/>
          <w:szCs w:val="19"/>
        </w:rPr>
        <w:t xml:space="preserve">Scientist-C at Biomedical Informatics Centre at SKIMS, </w:t>
      </w:r>
      <w:proofErr w:type="spellStart"/>
      <w:r>
        <w:rPr>
          <w:sz w:val="19"/>
          <w:szCs w:val="19"/>
        </w:rPr>
        <w:t>Sringar</w:t>
      </w:r>
      <w:proofErr w:type="spellEnd"/>
      <w:r>
        <w:rPr>
          <w:sz w:val="19"/>
          <w:szCs w:val="19"/>
        </w:rPr>
        <w:t xml:space="preserve">, J&amp;K, India </w:t>
      </w:r>
      <w:r w:rsidR="001A52CE" w:rsidRPr="0005164C">
        <w:rPr>
          <w:sz w:val="19"/>
          <w:szCs w:val="19"/>
        </w:rPr>
        <w:t xml:space="preserve">, a </w:t>
      </w:r>
      <w:r>
        <w:rPr>
          <w:sz w:val="19"/>
          <w:szCs w:val="19"/>
        </w:rPr>
        <w:t xml:space="preserve">Tertiary care Medical Institute. </w:t>
      </w:r>
      <w:r w:rsidR="001A52CE" w:rsidRPr="0005164C">
        <w:rPr>
          <w:sz w:val="19"/>
          <w:szCs w:val="19"/>
        </w:rPr>
        <w:t xml:space="preserve">He has published more than </w:t>
      </w:r>
      <w:r>
        <w:rPr>
          <w:sz w:val="19"/>
          <w:szCs w:val="19"/>
        </w:rPr>
        <w:t xml:space="preserve">10 </w:t>
      </w:r>
      <w:r w:rsidR="001A52CE" w:rsidRPr="0005164C">
        <w:rPr>
          <w:sz w:val="19"/>
          <w:szCs w:val="19"/>
        </w:rPr>
        <w:t>papers in reputed journals</w:t>
      </w:r>
      <w:r>
        <w:rPr>
          <w:sz w:val="19"/>
          <w:szCs w:val="19"/>
        </w:rPr>
        <w:t>.</w:t>
      </w:r>
    </w:p>
    <w:p w:rsidR="00631FF8" w:rsidRDefault="00631FF8" w:rsidP="001A52CE">
      <w:pPr>
        <w:jc w:val="both"/>
        <w:rPr>
          <w:sz w:val="19"/>
          <w:szCs w:val="19"/>
        </w:rPr>
      </w:pPr>
    </w:p>
    <w:p w:rsidR="00631FF8" w:rsidRDefault="00631FF8" w:rsidP="001A52CE">
      <w:pPr>
        <w:jc w:val="both"/>
        <w:rPr>
          <w:sz w:val="19"/>
          <w:szCs w:val="19"/>
        </w:rPr>
      </w:pPr>
    </w:p>
    <w:p w:rsidR="00631FF8" w:rsidRDefault="00631FF8" w:rsidP="001A52CE">
      <w:pPr>
        <w:jc w:val="both"/>
        <w:rPr>
          <w:sz w:val="19"/>
          <w:szCs w:val="19"/>
        </w:rPr>
      </w:pPr>
    </w:p>
    <w:p w:rsidR="00631FF8" w:rsidRDefault="00631FF8" w:rsidP="001A52CE">
      <w:pPr>
        <w:jc w:val="both"/>
        <w:rPr>
          <w:sz w:val="19"/>
          <w:szCs w:val="19"/>
        </w:rPr>
      </w:pPr>
    </w:p>
    <w:p w:rsidR="001A52CE" w:rsidRPr="0005164C" w:rsidRDefault="001A52CE" w:rsidP="001A52CE">
      <w:pPr>
        <w:jc w:val="both"/>
        <w:rPr>
          <w:rFonts w:eastAsia="MS PGothic"/>
          <w:b/>
          <w:sz w:val="19"/>
          <w:szCs w:val="19"/>
        </w:rPr>
      </w:pPr>
      <w:r w:rsidRPr="0005164C">
        <w:rPr>
          <w:sz w:val="19"/>
          <w:szCs w:val="19"/>
        </w:rPr>
        <w:t xml:space="preserve"> </w:t>
      </w:r>
      <w:r w:rsidR="00631FF8">
        <w:rPr>
          <w:sz w:val="19"/>
          <w:szCs w:val="19"/>
        </w:rPr>
        <w:t>.</w:t>
      </w:r>
      <w:r w:rsidRPr="0005164C">
        <w:rPr>
          <w:sz w:val="19"/>
          <w:szCs w:val="19"/>
        </w:rPr>
        <w:br/>
      </w:r>
    </w:p>
    <w:p w:rsidR="001A52CE" w:rsidRPr="0005164C" w:rsidRDefault="001A52CE" w:rsidP="00631FF8">
      <w:pPr>
        <w:numPr>
          <w:ilvl w:val="0"/>
          <w:numId w:val="4"/>
        </w:numPr>
        <w:autoSpaceDE w:val="0"/>
        <w:autoSpaceDN w:val="0"/>
        <w:adjustRightInd w:val="0"/>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1A52CE" w:rsidP="001A52CE">
      <w:pPr>
        <w:autoSpaceDE w:val="0"/>
        <w:autoSpaceDN w:val="0"/>
        <w:adjustRightInd w:val="0"/>
        <w:jc w:val="left"/>
        <w:rPr>
          <w:sz w:val="19"/>
          <w:szCs w:val="19"/>
          <w:lang w:val="en-NZ"/>
        </w:rPr>
      </w:pPr>
      <w:r>
        <w:rPr>
          <w:noProof/>
          <w:sz w:val="19"/>
          <w:szCs w:val="19"/>
          <w:lang w:val="en-IN" w:eastAsia="en-IN"/>
        </w:rPr>
        <w:drawing>
          <wp:inline distT="0" distB="0" distL="0" distR="0">
            <wp:extent cx="1238250" cy="754380"/>
            <wp:effectExtent l="1905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0" cy="754380"/>
                    </a:xfrm>
                    <a:prstGeom prst="rect">
                      <a:avLst/>
                    </a:prstGeom>
                    <a:noFill/>
                    <a:ln>
                      <a:noFill/>
                    </a:ln>
                  </pic:spPr>
                </pic:pic>
              </a:graphicData>
            </a:graphic>
          </wp:inline>
        </w:drawing>
      </w:r>
      <w:r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631FF8">
        <w:rPr>
          <w:sz w:val="19"/>
          <w:szCs w:val="19"/>
          <w:lang w:val="en-NZ"/>
        </w:rPr>
        <w:t xml:space="preserve">  </w:t>
      </w:r>
      <w:r w:rsidR="008B700E">
        <w:rPr>
          <w:sz w:val="19"/>
          <w:szCs w:val="19"/>
          <w:lang w:val="en-NZ"/>
        </w:rPr>
        <w:t xml:space="preserve">        </w:t>
      </w:r>
      <w:proofErr w:type="spellStart"/>
      <w:r w:rsidR="00631FF8" w:rsidRPr="000B57E4">
        <w:rPr>
          <w:b/>
          <w:sz w:val="19"/>
          <w:szCs w:val="19"/>
          <w:lang w:val="en-NZ"/>
        </w:rPr>
        <w:t>Vaqar</w:t>
      </w:r>
      <w:proofErr w:type="spellEnd"/>
      <w:r w:rsidR="00631FF8" w:rsidRPr="000B57E4">
        <w:rPr>
          <w:b/>
          <w:sz w:val="19"/>
          <w:szCs w:val="19"/>
          <w:lang w:val="en-NZ"/>
        </w:rPr>
        <w:t xml:space="preserve"> </w:t>
      </w:r>
      <w:proofErr w:type="spellStart"/>
      <w:r w:rsidR="00631FF8" w:rsidRPr="000B57E4">
        <w:rPr>
          <w:b/>
          <w:sz w:val="19"/>
          <w:szCs w:val="19"/>
          <w:lang w:val="en-NZ"/>
        </w:rPr>
        <w:t>Gani</w:t>
      </w:r>
      <w:proofErr w:type="spellEnd"/>
      <w:r w:rsidR="00631FF8" w:rsidRPr="000B57E4">
        <w:rPr>
          <w:b/>
          <w:sz w:val="19"/>
          <w:szCs w:val="19"/>
          <w:lang w:val="en-NZ"/>
        </w:rPr>
        <w:t xml:space="preserve"> </w:t>
      </w:r>
      <w:proofErr w:type="spellStart"/>
      <w:r w:rsidR="00631FF8" w:rsidRPr="000B57E4">
        <w:rPr>
          <w:b/>
          <w:sz w:val="19"/>
          <w:szCs w:val="19"/>
          <w:lang w:val="en-NZ"/>
        </w:rPr>
        <w:t>Tantray</w:t>
      </w:r>
      <w:proofErr w:type="spellEnd"/>
      <w:r w:rsidR="00631FF8">
        <w:rPr>
          <w:sz w:val="19"/>
          <w:szCs w:val="19"/>
          <w:lang w:val="en-NZ"/>
        </w:rPr>
        <w:t xml:space="preserve"> </w:t>
      </w:r>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631FF8">
        <w:rPr>
          <w:sz w:val="19"/>
          <w:szCs w:val="19"/>
          <w:lang w:val="en-NZ"/>
        </w:rPr>
        <w:t xml:space="preserve"> </w:t>
      </w:r>
      <w:r w:rsidR="00631FF8" w:rsidRPr="000B57E4">
        <w:rPr>
          <w:b/>
          <w:sz w:val="19"/>
          <w:szCs w:val="19"/>
          <w:lang w:val="en-NZ"/>
        </w:rPr>
        <w:t>+91 9622519292</w:t>
      </w:r>
      <w:r w:rsidRPr="0005164C">
        <w:rPr>
          <w:sz w:val="19"/>
          <w:szCs w:val="19"/>
          <w:lang w:val="en-NZ"/>
        </w:rPr>
        <w:br/>
        <w:t>Twitter account:</w:t>
      </w:r>
      <w:r w:rsidR="000B57E4">
        <w:rPr>
          <w:sz w:val="19"/>
          <w:szCs w:val="19"/>
          <w:lang w:val="en-NZ"/>
        </w:rPr>
        <w:t xml:space="preserve"> </w:t>
      </w:r>
      <w:r w:rsidR="000B57E4" w:rsidRPr="000B57E4">
        <w:rPr>
          <w:b/>
          <w:sz w:val="19"/>
          <w:szCs w:val="19"/>
          <w:lang w:val="en-NZ"/>
        </w:rPr>
        <w:t>@</w:t>
      </w:r>
      <w:proofErr w:type="spellStart"/>
      <w:r w:rsidR="000B57E4" w:rsidRPr="000B57E4">
        <w:rPr>
          <w:b/>
          <w:sz w:val="19"/>
          <w:szCs w:val="19"/>
          <w:lang w:val="en-NZ"/>
        </w:rPr>
        <w:t>waqsaf</w:t>
      </w:r>
      <w:proofErr w:type="spellEnd"/>
      <w:r w:rsidRPr="0005164C">
        <w:rPr>
          <w:sz w:val="19"/>
          <w:szCs w:val="19"/>
          <w:lang w:val="en-NZ"/>
        </w:rPr>
        <w:br/>
        <w:t>Linked In account:</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(Poster presentation)</w:t>
      </w:r>
    </w:p>
    <w:p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0B57E4">
        <w:rPr>
          <w:sz w:val="18"/>
          <w:szCs w:val="18"/>
          <w:lang w:val="en-IN"/>
        </w:rPr>
        <w:t xml:space="preserve">       </w:t>
      </w:r>
      <w:r w:rsidR="000B57E4" w:rsidRPr="000B57E4">
        <w:rPr>
          <w:b/>
          <w:sz w:val="18"/>
          <w:szCs w:val="18"/>
          <w:lang w:val="en-IN"/>
        </w:rPr>
        <w:t>J7892917</w:t>
      </w:r>
    </w:p>
    <w:p w:rsidR="00803340" w:rsidRDefault="00D57EA2">
      <w:bookmarkStart w:id="3" w:name="_GoBack"/>
      <w:bookmarkEnd w:id="3"/>
    </w:p>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6B1A0A4D"/>
    <w:multiLevelType w:val="hybridMultilevel"/>
    <w:tmpl w:val="91DAD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7A3C1250"/>
    <w:multiLevelType w:val="hybridMultilevel"/>
    <w:tmpl w:val="CEC4D9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52CE"/>
    <w:rsid w:val="000B57E4"/>
    <w:rsid w:val="001A52CE"/>
    <w:rsid w:val="005F12EA"/>
    <w:rsid w:val="00631FF8"/>
    <w:rsid w:val="006334DB"/>
    <w:rsid w:val="008B700E"/>
    <w:rsid w:val="00A66C27"/>
    <w:rsid w:val="00AB58BE"/>
    <w:rsid w:val="00BD3ACD"/>
    <w:rsid w:val="00D57EA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631F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483</Words>
  <Characters>2759</Characters>
  <Application>Microsoft Office Word</Application>
  <DocSecurity>0</DocSecurity>
  <Lines>22</Lines>
  <Paragraphs>6</Paragraphs>
  <ScaleCrop>false</ScaleCrop>
  <Company>Hewlett-Packard</Company>
  <LinksUpToDate>false</LinksUpToDate>
  <CharactersWithSpaces>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waqar tantray</cp:lastModifiedBy>
  <cp:revision>2</cp:revision>
  <dcterms:created xsi:type="dcterms:W3CDTF">2020-07-01T17:41:00Z</dcterms:created>
  <dcterms:modified xsi:type="dcterms:W3CDTF">2020-07-01T17:41:00Z</dcterms:modified>
</cp:coreProperties>
</file>