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DF5" w:rsidRDefault="002A3DF5" w:rsidP="00260D44">
      <w:pPr>
        <w:pStyle w:val="Heading1"/>
        <w:spacing w:before="170"/>
      </w:pPr>
      <w:proofErr w:type="spellStart"/>
      <w:r w:rsidRPr="002A3DF5">
        <w:rPr>
          <w:color w:val="337AB7"/>
        </w:rPr>
        <w:t>Varicella</w:t>
      </w:r>
      <w:proofErr w:type="spellEnd"/>
      <w:r w:rsidRPr="002A3DF5">
        <w:rPr>
          <w:color w:val="337AB7"/>
        </w:rPr>
        <w:t xml:space="preserve"> </w:t>
      </w:r>
      <w:proofErr w:type="spellStart"/>
      <w:proofErr w:type="gramStart"/>
      <w:r w:rsidRPr="002A3DF5">
        <w:rPr>
          <w:color w:val="337AB7"/>
        </w:rPr>
        <w:t>Immunty</w:t>
      </w:r>
      <w:proofErr w:type="spellEnd"/>
      <w:r>
        <w:rPr>
          <w:color w:val="337AB7"/>
        </w:rPr>
        <w:t xml:space="preserve">  among</w:t>
      </w:r>
      <w:proofErr w:type="gramEnd"/>
      <w:r>
        <w:rPr>
          <w:color w:val="337AB7"/>
        </w:rPr>
        <w:t xml:space="preserve"> Pregnant Women in Pleven Region, Bulgaria</w:t>
      </w:r>
    </w:p>
    <w:p w:rsidR="00260D44" w:rsidRPr="00260D44" w:rsidRDefault="002A3DF5" w:rsidP="00260D44">
      <w:pPr>
        <w:pStyle w:val="Heading1"/>
        <w:spacing w:before="170"/>
        <w:ind w:left="0" w:firstLine="100"/>
        <w:rPr>
          <w:rFonts w:ascii="Arial" w:hAnsi="Arial" w:cs="Arial"/>
          <w:sz w:val="18"/>
          <w:szCs w:val="18"/>
        </w:rPr>
      </w:pPr>
      <w:proofErr w:type="spellStart"/>
      <w:r w:rsidRPr="00260D44">
        <w:rPr>
          <w:rFonts w:ascii="Arial" w:hAnsi="Arial" w:cs="Arial"/>
          <w:sz w:val="18"/>
          <w:szCs w:val="18"/>
        </w:rPr>
        <w:t>Milena</w:t>
      </w:r>
      <w:proofErr w:type="spellEnd"/>
      <w:r w:rsidRPr="00260D44">
        <w:rPr>
          <w:rFonts w:ascii="Arial" w:hAnsi="Arial" w:cs="Arial"/>
          <w:sz w:val="18"/>
          <w:szCs w:val="18"/>
        </w:rPr>
        <w:t xml:space="preserve"> D </w:t>
      </w:r>
      <w:proofErr w:type="spellStart"/>
      <w:r w:rsidRPr="00260D44">
        <w:rPr>
          <w:rFonts w:ascii="Arial" w:hAnsi="Arial" w:cs="Arial"/>
          <w:sz w:val="18"/>
          <w:szCs w:val="18"/>
        </w:rPr>
        <w:t>Karcheva</w:t>
      </w:r>
      <w:proofErr w:type="spellEnd"/>
      <w:r w:rsidR="00260D44">
        <w:rPr>
          <w:rFonts w:ascii="Arial" w:hAnsi="Arial" w:cs="Arial"/>
          <w:sz w:val="18"/>
          <w:szCs w:val="18"/>
        </w:rPr>
        <w:t>, MD, PhD, Medical University-Pleven, Bulgaria</w:t>
      </w:r>
    </w:p>
    <w:p w:rsidR="00AE3E37" w:rsidRDefault="00260D44" w:rsidP="00260D44">
      <w:pPr>
        <w:pStyle w:val="BodyText"/>
        <w:spacing w:before="3"/>
        <w:ind w:firstLine="100"/>
        <w:rPr>
          <w:rFonts w:ascii="Arial" w:hAnsi="Arial" w:cs="Arial"/>
          <w:b/>
        </w:rPr>
      </w:pPr>
      <w:r w:rsidRPr="00260D44">
        <w:rPr>
          <w:rFonts w:ascii="Arial" w:hAnsi="Arial" w:cs="Arial"/>
          <w:b/>
        </w:rPr>
        <w:t xml:space="preserve">Alexander B </w:t>
      </w:r>
      <w:proofErr w:type="spellStart"/>
      <w:r w:rsidRPr="00260D44">
        <w:rPr>
          <w:rFonts w:ascii="Arial" w:hAnsi="Arial" w:cs="Arial"/>
          <w:b/>
        </w:rPr>
        <w:t>Blazhev</w:t>
      </w:r>
      <w:proofErr w:type="spellEnd"/>
      <w:r>
        <w:rPr>
          <w:rFonts w:ascii="Arial" w:hAnsi="Arial" w:cs="Arial"/>
          <w:b/>
        </w:rPr>
        <w:t xml:space="preserve">, </w:t>
      </w:r>
      <w:r w:rsidRPr="00260D44">
        <w:rPr>
          <w:rFonts w:ascii="Arial" w:hAnsi="Arial" w:cs="Arial"/>
          <w:b/>
        </w:rPr>
        <w:t>Medical University-Pleven, Bulgaria</w:t>
      </w:r>
    </w:p>
    <w:p w:rsidR="00260D44" w:rsidRDefault="00260D44" w:rsidP="00260D44">
      <w:pPr>
        <w:pStyle w:val="BodyText"/>
        <w:spacing w:before="3"/>
        <w:ind w:firstLine="10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Anton G </w:t>
      </w:r>
      <w:proofErr w:type="spellStart"/>
      <w:r>
        <w:rPr>
          <w:rFonts w:ascii="Arial" w:hAnsi="Arial" w:cs="Arial"/>
          <w:b/>
        </w:rPr>
        <w:t>Petrov</w:t>
      </w:r>
      <w:proofErr w:type="spellEnd"/>
      <w:r>
        <w:rPr>
          <w:rFonts w:ascii="Arial" w:hAnsi="Arial" w:cs="Arial"/>
          <w:b/>
        </w:rPr>
        <w:t xml:space="preserve">, </w:t>
      </w:r>
      <w:r w:rsidRPr="00260D44">
        <w:rPr>
          <w:rFonts w:ascii="Arial" w:hAnsi="Arial" w:cs="Arial"/>
          <w:b/>
        </w:rPr>
        <w:t>Medical University-Pleven, Bulgaria</w:t>
      </w:r>
    </w:p>
    <w:p w:rsidR="00260D44" w:rsidRPr="00260D44" w:rsidRDefault="00260D44" w:rsidP="00260D44">
      <w:pPr>
        <w:pStyle w:val="BodyText"/>
        <w:spacing w:before="3"/>
        <w:ind w:firstLine="100"/>
        <w:rPr>
          <w:rFonts w:ascii="Arial" w:hAnsi="Arial" w:cs="Arial"/>
          <w:b/>
        </w:rPr>
        <w:sectPr w:rsidR="00260D44" w:rsidRPr="00260D44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D0056F" w:rsidRDefault="00D0056F">
      <w:pPr>
        <w:pStyle w:val="Heading3"/>
        <w:spacing w:before="147"/>
        <w:jc w:val="both"/>
        <w:rPr>
          <w:color w:val="BF5A14"/>
        </w:r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47566A" w:rsidRDefault="0047566A" w:rsidP="006903B8">
      <w:pPr>
        <w:spacing w:line="276" w:lineRule="auto"/>
        <w:jc w:val="both"/>
        <w:rPr>
          <w:sz w:val="18"/>
          <w:szCs w:val="18"/>
        </w:rPr>
      </w:pPr>
    </w:p>
    <w:p w:rsidR="006903B8" w:rsidRPr="006903B8" w:rsidRDefault="00A9710C" w:rsidP="00D0056F">
      <w:pPr>
        <w:spacing w:line="276" w:lineRule="auto"/>
        <w:jc w:val="both"/>
        <w:rPr>
          <w:rFonts w:cs="Times New Roman"/>
          <w:sz w:val="18"/>
          <w:szCs w:val="18"/>
        </w:rPr>
      </w:pPr>
      <w:r w:rsidRPr="006903B8">
        <w:rPr>
          <w:sz w:val="18"/>
          <w:szCs w:val="18"/>
        </w:rPr>
        <w:t xml:space="preserve">Statement of the Problem: </w:t>
      </w:r>
      <w:r w:rsidR="00260D44" w:rsidRPr="006903B8">
        <w:rPr>
          <w:sz w:val="18"/>
          <w:szCs w:val="18"/>
        </w:rPr>
        <w:t xml:space="preserve">In most European countries, </w:t>
      </w:r>
      <w:proofErr w:type="spellStart"/>
      <w:r w:rsidR="00260D44" w:rsidRPr="006903B8">
        <w:rPr>
          <w:sz w:val="18"/>
          <w:szCs w:val="18"/>
        </w:rPr>
        <w:t>varicella</w:t>
      </w:r>
      <w:proofErr w:type="spellEnd"/>
      <w:r w:rsidR="00260D44" w:rsidRPr="006903B8">
        <w:rPr>
          <w:sz w:val="18"/>
          <w:szCs w:val="18"/>
        </w:rPr>
        <w:t xml:space="preserve"> is a rare disease during </w:t>
      </w:r>
      <w:proofErr w:type="spellStart"/>
      <w:r w:rsidR="00260D44" w:rsidRPr="006903B8">
        <w:rPr>
          <w:sz w:val="18"/>
          <w:szCs w:val="18"/>
        </w:rPr>
        <w:t>pregnancy</w:t>
      </w:r>
      <w:r w:rsidR="00CC50ED">
        <w:rPr>
          <w:sz w:val="18"/>
          <w:szCs w:val="18"/>
        </w:rPr>
        <w:t>.</w:t>
      </w:r>
      <w:r w:rsidR="00260D44" w:rsidRPr="006903B8">
        <w:rPr>
          <w:sz w:val="18"/>
          <w:szCs w:val="18"/>
        </w:rPr>
        <w:t>However</w:t>
      </w:r>
      <w:proofErr w:type="spellEnd"/>
      <w:r w:rsidR="00260D44" w:rsidRPr="006903B8">
        <w:rPr>
          <w:sz w:val="18"/>
          <w:szCs w:val="18"/>
        </w:rPr>
        <w:t xml:space="preserve">, little is known about the </w:t>
      </w:r>
      <w:r w:rsidR="0047566A">
        <w:rPr>
          <w:sz w:val="18"/>
          <w:szCs w:val="18"/>
        </w:rPr>
        <w:t xml:space="preserve">   </w:t>
      </w:r>
      <w:proofErr w:type="spellStart"/>
      <w:r w:rsidR="00260D44" w:rsidRPr="006903B8">
        <w:rPr>
          <w:sz w:val="18"/>
          <w:szCs w:val="18"/>
        </w:rPr>
        <w:t>seroprevalence</w:t>
      </w:r>
      <w:proofErr w:type="spellEnd"/>
      <w:r w:rsidR="00260D44" w:rsidRPr="006903B8">
        <w:rPr>
          <w:sz w:val="18"/>
          <w:szCs w:val="18"/>
        </w:rPr>
        <w:t xml:space="preserve"> of </w:t>
      </w:r>
      <w:proofErr w:type="spellStart"/>
      <w:r w:rsidR="00260D44" w:rsidRPr="006903B8">
        <w:rPr>
          <w:sz w:val="18"/>
          <w:szCs w:val="18"/>
        </w:rPr>
        <w:t>varicella</w:t>
      </w:r>
      <w:proofErr w:type="spellEnd"/>
      <w:r w:rsidR="00260D44" w:rsidRPr="006903B8">
        <w:rPr>
          <w:sz w:val="18"/>
          <w:szCs w:val="18"/>
        </w:rPr>
        <w:t xml:space="preserve">-zoster virus (VZV) serum </w:t>
      </w:r>
      <w:r w:rsidR="00C05278" w:rsidRPr="006903B8">
        <w:rPr>
          <w:sz w:val="18"/>
          <w:szCs w:val="18"/>
        </w:rPr>
        <w:t xml:space="preserve">immunoglobulin G </w:t>
      </w:r>
      <w:r w:rsidR="00260D44" w:rsidRPr="006903B8">
        <w:rPr>
          <w:sz w:val="18"/>
          <w:szCs w:val="18"/>
        </w:rPr>
        <w:t xml:space="preserve">antibodies in pregnant women. In some studies less than 3-5% of pregnant women were </w:t>
      </w:r>
      <w:proofErr w:type="spellStart"/>
      <w:r w:rsidR="00260D44" w:rsidRPr="006903B8">
        <w:rPr>
          <w:sz w:val="18"/>
          <w:szCs w:val="18"/>
        </w:rPr>
        <w:t>seronegative</w:t>
      </w:r>
      <w:proofErr w:type="spellEnd"/>
      <w:r w:rsidR="00260D44" w:rsidRPr="006903B8">
        <w:rPr>
          <w:sz w:val="18"/>
          <w:szCs w:val="18"/>
        </w:rPr>
        <w:t xml:space="preserve"> to VZV antibodies. Other studies found 10-12% of p</w:t>
      </w:r>
      <w:r w:rsidR="00C05278" w:rsidRPr="006903B8">
        <w:rPr>
          <w:sz w:val="18"/>
          <w:szCs w:val="18"/>
        </w:rPr>
        <w:t xml:space="preserve">regnant women were </w:t>
      </w:r>
      <w:proofErr w:type="spellStart"/>
      <w:r w:rsidR="00C05278" w:rsidRPr="006903B8">
        <w:rPr>
          <w:sz w:val="18"/>
          <w:szCs w:val="18"/>
        </w:rPr>
        <w:t>seronegative</w:t>
      </w:r>
      <w:proofErr w:type="spellEnd"/>
      <w:r w:rsidR="00260D44" w:rsidRPr="006903B8">
        <w:rPr>
          <w:sz w:val="18"/>
          <w:szCs w:val="18"/>
        </w:rPr>
        <w:t xml:space="preserve">. </w:t>
      </w:r>
      <w:r w:rsidRPr="006903B8">
        <w:rPr>
          <w:sz w:val="18"/>
          <w:szCs w:val="18"/>
        </w:rPr>
        <w:t xml:space="preserve">The purpose of this study </w:t>
      </w:r>
      <w:r w:rsidR="00C05278" w:rsidRPr="006903B8">
        <w:rPr>
          <w:sz w:val="18"/>
          <w:szCs w:val="18"/>
        </w:rPr>
        <w:t xml:space="preserve">was to assess the immunity against VZV among pregnant women in Pleven Region, Bulgaria. </w:t>
      </w:r>
      <w:r w:rsidRPr="006903B8">
        <w:rPr>
          <w:sz w:val="18"/>
          <w:szCs w:val="18"/>
        </w:rPr>
        <w:t>Methodolog</w:t>
      </w:r>
      <w:r w:rsidR="008756E6" w:rsidRPr="006903B8">
        <w:rPr>
          <w:sz w:val="18"/>
          <w:szCs w:val="18"/>
        </w:rPr>
        <w:t xml:space="preserve">y &amp; Theoretical Orientation: </w:t>
      </w:r>
      <w:r w:rsidR="006903B8" w:rsidRPr="006903B8">
        <w:rPr>
          <w:rFonts w:cs="Times New Roman"/>
          <w:sz w:val="18"/>
          <w:szCs w:val="18"/>
        </w:rPr>
        <w:t xml:space="preserve">Cross-sectional study was carried out. After an informed consent, 251 women were hospitalized in Clinic of </w:t>
      </w:r>
      <w:r w:rsidR="00003357">
        <w:rPr>
          <w:rFonts w:cs="Times New Roman"/>
          <w:sz w:val="18"/>
          <w:szCs w:val="18"/>
        </w:rPr>
        <w:t>O</w:t>
      </w:r>
      <w:r w:rsidR="006903B8" w:rsidRPr="006903B8">
        <w:rPr>
          <w:rFonts w:cs="Times New Roman"/>
          <w:sz w:val="18"/>
          <w:szCs w:val="18"/>
        </w:rPr>
        <w:t xml:space="preserve">bstetrics and </w:t>
      </w:r>
      <w:r w:rsidR="00003357">
        <w:rPr>
          <w:rFonts w:cs="Times New Roman"/>
          <w:sz w:val="18"/>
          <w:szCs w:val="18"/>
        </w:rPr>
        <w:t>G</w:t>
      </w:r>
      <w:r w:rsidR="006903B8" w:rsidRPr="006903B8">
        <w:rPr>
          <w:rFonts w:cs="Times New Roman"/>
          <w:sz w:val="18"/>
          <w:szCs w:val="18"/>
        </w:rPr>
        <w:t xml:space="preserve">ynecology at the University </w:t>
      </w:r>
      <w:r w:rsidR="00003357">
        <w:rPr>
          <w:rFonts w:cs="Times New Roman"/>
          <w:sz w:val="18"/>
          <w:szCs w:val="18"/>
        </w:rPr>
        <w:t>H</w:t>
      </w:r>
      <w:r w:rsidR="006903B8" w:rsidRPr="006903B8">
        <w:rPr>
          <w:rFonts w:cs="Times New Roman"/>
          <w:sz w:val="18"/>
          <w:szCs w:val="18"/>
        </w:rPr>
        <w:t xml:space="preserve">ospital in Pleven, Bulgaria. From every participant blood was obtained and all serum samples were tested by Enzyme-linked </w:t>
      </w:r>
      <w:proofErr w:type="spellStart"/>
      <w:r w:rsidR="006903B8" w:rsidRPr="006903B8">
        <w:rPr>
          <w:rFonts w:cs="Times New Roman"/>
          <w:sz w:val="18"/>
          <w:szCs w:val="18"/>
        </w:rPr>
        <w:t>immunosorbent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 assay (ELISA). </w:t>
      </w:r>
      <w:proofErr w:type="spellStart"/>
      <w:r w:rsidR="006903B8" w:rsidRPr="006903B8">
        <w:rPr>
          <w:rFonts w:cs="Times New Roman"/>
          <w:sz w:val="18"/>
          <w:szCs w:val="18"/>
        </w:rPr>
        <w:t>NovaLisa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 </w:t>
      </w:r>
      <w:proofErr w:type="spellStart"/>
      <w:r w:rsidR="006903B8" w:rsidRPr="006903B8">
        <w:rPr>
          <w:rFonts w:cs="Times New Roman"/>
          <w:sz w:val="18"/>
          <w:szCs w:val="18"/>
        </w:rPr>
        <w:t>Varicella</w:t>
      </w:r>
      <w:proofErr w:type="spellEnd"/>
      <w:r w:rsidR="006903B8" w:rsidRPr="006903B8">
        <w:rPr>
          <w:rFonts w:cs="Times New Roman"/>
          <w:sz w:val="18"/>
          <w:szCs w:val="18"/>
        </w:rPr>
        <w:t>-Zoster Virus (VZV), ELISA Kit (</w:t>
      </w:r>
      <w:proofErr w:type="spellStart"/>
      <w:r w:rsidR="006903B8" w:rsidRPr="006903B8">
        <w:rPr>
          <w:rFonts w:cs="Times New Roman"/>
          <w:sz w:val="18"/>
          <w:szCs w:val="18"/>
        </w:rPr>
        <w:t>NovaTec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 </w:t>
      </w:r>
      <w:proofErr w:type="spellStart"/>
      <w:r w:rsidR="006903B8" w:rsidRPr="006903B8">
        <w:rPr>
          <w:rFonts w:cs="Times New Roman"/>
          <w:sz w:val="18"/>
          <w:szCs w:val="18"/>
        </w:rPr>
        <w:t>Immunodiagnostica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 </w:t>
      </w:r>
      <w:proofErr w:type="spellStart"/>
      <w:r w:rsidR="006903B8" w:rsidRPr="006903B8">
        <w:rPr>
          <w:rFonts w:cs="Times New Roman"/>
          <w:sz w:val="18"/>
          <w:szCs w:val="18"/>
        </w:rPr>
        <w:t>GmsH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) for detection of VZV </w:t>
      </w:r>
      <w:r w:rsidR="006903B8" w:rsidRPr="006903B8">
        <w:rPr>
          <w:rFonts w:cs="Times New Roman"/>
          <w:bCs/>
          <w:sz w:val="18"/>
          <w:szCs w:val="18"/>
        </w:rPr>
        <w:t>Immunoglobulin G</w:t>
      </w:r>
      <w:r w:rsidR="006903B8" w:rsidRPr="006903B8">
        <w:rPr>
          <w:rFonts w:cs="Times New Roman"/>
          <w:sz w:val="18"/>
          <w:szCs w:val="18"/>
        </w:rPr>
        <w:t xml:space="preserve"> (</w:t>
      </w:r>
      <w:proofErr w:type="spellStart"/>
      <w:r w:rsidR="006903B8" w:rsidRPr="006903B8">
        <w:rPr>
          <w:rFonts w:cs="Times New Roman"/>
          <w:sz w:val="18"/>
          <w:szCs w:val="18"/>
        </w:rPr>
        <w:t>IgG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) antibody and </w:t>
      </w:r>
      <w:proofErr w:type="spellStart"/>
      <w:r w:rsidR="006903B8" w:rsidRPr="006903B8">
        <w:rPr>
          <w:rFonts w:cs="Times New Roman"/>
          <w:sz w:val="18"/>
          <w:szCs w:val="18"/>
        </w:rPr>
        <w:t>UVmax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 kinetic </w:t>
      </w:r>
      <w:proofErr w:type="spellStart"/>
      <w:r w:rsidR="006903B8" w:rsidRPr="006903B8">
        <w:rPr>
          <w:rFonts w:cs="Times New Roman"/>
          <w:sz w:val="18"/>
          <w:szCs w:val="18"/>
        </w:rPr>
        <w:t>microplate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 reader were used. Demographic characteristics of participants were collected by interview. Data were managed in Microsoft Excel 2007 and analyzed using </w:t>
      </w:r>
      <w:proofErr w:type="spellStart"/>
      <w:r w:rsidR="006903B8" w:rsidRPr="006903B8">
        <w:rPr>
          <w:rFonts w:cs="Times New Roman"/>
          <w:sz w:val="18"/>
          <w:szCs w:val="18"/>
        </w:rPr>
        <w:t>Statgraphics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 Centurion software.</w:t>
      </w:r>
      <w:r w:rsidR="006903B8" w:rsidRPr="004F0979">
        <w:rPr>
          <w:rFonts w:ascii="Times New Roman" w:hAnsi="Times New Roman" w:cs="Times New Roman"/>
          <w:sz w:val="24"/>
          <w:szCs w:val="24"/>
        </w:rPr>
        <w:t xml:space="preserve"> </w:t>
      </w:r>
      <w:r>
        <w:t xml:space="preserve"> </w:t>
      </w:r>
      <w:r w:rsidRPr="006903B8">
        <w:rPr>
          <w:sz w:val="18"/>
          <w:szCs w:val="18"/>
        </w:rPr>
        <w:t>Findings:</w:t>
      </w:r>
      <w:r>
        <w:t xml:space="preserve"> </w:t>
      </w:r>
      <w:r w:rsidR="006903B8" w:rsidRPr="006903B8">
        <w:rPr>
          <w:rFonts w:cs="Times New Roman"/>
          <w:sz w:val="18"/>
          <w:szCs w:val="18"/>
        </w:rPr>
        <w:t xml:space="preserve">VZV </w:t>
      </w:r>
      <w:proofErr w:type="spellStart"/>
      <w:r w:rsidR="006903B8" w:rsidRPr="006903B8">
        <w:rPr>
          <w:rFonts w:cs="Times New Roman"/>
          <w:sz w:val="18"/>
          <w:szCs w:val="18"/>
        </w:rPr>
        <w:t>IgG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 </w:t>
      </w:r>
      <w:r w:rsidR="006903B8" w:rsidRPr="006903B8">
        <w:rPr>
          <w:rFonts w:cs="Times New Roman"/>
          <w:bCs/>
          <w:sz w:val="18"/>
          <w:szCs w:val="18"/>
        </w:rPr>
        <w:t>antibodies</w:t>
      </w:r>
      <w:r w:rsidR="006903B8" w:rsidRPr="006903B8">
        <w:rPr>
          <w:rFonts w:cs="Times New Roman"/>
          <w:sz w:val="18"/>
          <w:szCs w:val="18"/>
        </w:rPr>
        <w:t xml:space="preserve"> positive were detected in 178/251 (70.92%) of the women. </w:t>
      </w:r>
      <w:r w:rsidR="006903B8" w:rsidRPr="006903B8">
        <w:rPr>
          <w:rStyle w:val="tlid-translation"/>
          <w:rFonts w:cs="Times New Roman"/>
          <w:sz w:val="18"/>
          <w:szCs w:val="18"/>
        </w:rPr>
        <w:t>Forty-four (17.53%)</w:t>
      </w:r>
      <w:r w:rsidR="006903B8" w:rsidRPr="006903B8">
        <w:rPr>
          <w:rFonts w:cs="Times New Roman"/>
          <w:sz w:val="18"/>
          <w:szCs w:val="18"/>
        </w:rPr>
        <w:t xml:space="preserve"> of all women were VZV </w:t>
      </w:r>
      <w:proofErr w:type="spellStart"/>
      <w:r w:rsidR="006903B8" w:rsidRPr="006903B8">
        <w:rPr>
          <w:rFonts w:cs="Times New Roman"/>
          <w:sz w:val="18"/>
          <w:szCs w:val="18"/>
        </w:rPr>
        <w:t>IgG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 </w:t>
      </w:r>
      <w:r w:rsidR="006903B8" w:rsidRPr="006903B8">
        <w:rPr>
          <w:rFonts w:cs="Times New Roman"/>
          <w:bCs/>
          <w:sz w:val="18"/>
          <w:szCs w:val="18"/>
        </w:rPr>
        <w:t>antibodies</w:t>
      </w:r>
      <w:r w:rsidR="006903B8" w:rsidRPr="006903B8">
        <w:rPr>
          <w:rFonts w:cs="Times New Roman"/>
          <w:sz w:val="18"/>
          <w:szCs w:val="18"/>
        </w:rPr>
        <w:t xml:space="preserve"> negative and 29/251 (11.55%) were considered as equivocal. In women up to 20 years of age (n=33), 19(57.57%) samples were positive found. In women aged between 2</w:t>
      </w:r>
      <w:r w:rsidR="00003357">
        <w:rPr>
          <w:rFonts w:cs="Times New Roman"/>
          <w:sz w:val="18"/>
          <w:szCs w:val="18"/>
        </w:rPr>
        <w:t>1</w:t>
      </w:r>
      <w:r w:rsidR="006903B8" w:rsidRPr="006903B8">
        <w:rPr>
          <w:rFonts w:cs="Times New Roman"/>
          <w:sz w:val="18"/>
          <w:szCs w:val="18"/>
        </w:rPr>
        <w:t xml:space="preserve"> and 30 years of age (n=138), 99 (71.74%) positive samples were found. In women over 30 years of age (n=80),</w:t>
      </w:r>
      <w:r w:rsidR="006903B8" w:rsidRPr="006903B8">
        <w:rPr>
          <w:sz w:val="18"/>
          <w:szCs w:val="18"/>
        </w:rPr>
        <w:t xml:space="preserve"> </w:t>
      </w:r>
      <w:r w:rsidR="006903B8" w:rsidRPr="006903B8">
        <w:rPr>
          <w:rFonts w:eastAsia="Times New Roman" w:cs="Times New Roman"/>
          <w:sz w:val="18"/>
          <w:szCs w:val="18"/>
        </w:rPr>
        <w:t>59 (73.75%) were positive</w:t>
      </w:r>
      <w:r w:rsidR="006903B8" w:rsidRPr="006903B8">
        <w:rPr>
          <w:rFonts w:cs="Times New Roman"/>
          <w:sz w:val="18"/>
          <w:szCs w:val="18"/>
        </w:rPr>
        <w:t xml:space="preserve">. </w:t>
      </w:r>
      <w:r w:rsidR="006903B8" w:rsidRPr="006903B8">
        <w:rPr>
          <w:rStyle w:val="tlid-translation"/>
          <w:rFonts w:cs="Times New Roman"/>
          <w:sz w:val="18"/>
          <w:szCs w:val="18"/>
        </w:rPr>
        <w:t xml:space="preserve">In all three age groups, </w:t>
      </w:r>
      <w:proofErr w:type="spellStart"/>
      <w:r w:rsidR="006903B8" w:rsidRPr="006903B8">
        <w:rPr>
          <w:rStyle w:val="tlid-translation"/>
          <w:rFonts w:cs="Times New Roman"/>
          <w:sz w:val="18"/>
          <w:szCs w:val="18"/>
        </w:rPr>
        <w:t>sero</w:t>
      </w:r>
      <w:proofErr w:type="spellEnd"/>
      <w:r w:rsidR="006903B8" w:rsidRPr="006903B8">
        <w:rPr>
          <w:rStyle w:val="tlid-translation"/>
          <w:rFonts w:cs="Times New Roman"/>
          <w:sz w:val="18"/>
          <w:szCs w:val="18"/>
        </w:rPr>
        <w:t>-negative women were found but the highest percentage was in the age group up to 20 years - 21.21%.</w:t>
      </w:r>
      <w:r w:rsidR="00003357">
        <w:rPr>
          <w:rStyle w:val="tlid-translation"/>
          <w:rFonts w:cs="Times New Roman"/>
          <w:sz w:val="18"/>
          <w:szCs w:val="18"/>
        </w:rPr>
        <w:t xml:space="preserve"> </w:t>
      </w:r>
      <w:r w:rsidRPr="006903B8">
        <w:rPr>
          <w:sz w:val="18"/>
          <w:szCs w:val="18"/>
        </w:rPr>
        <w:t xml:space="preserve">Conclusion &amp; Significance: </w:t>
      </w:r>
      <w:proofErr w:type="spellStart"/>
      <w:r w:rsidR="006903B8" w:rsidRPr="006903B8">
        <w:rPr>
          <w:rFonts w:cs="Times New Roman"/>
          <w:sz w:val="18"/>
          <w:szCs w:val="18"/>
        </w:rPr>
        <w:t>Seroprevalence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 of VZV serum </w:t>
      </w:r>
      <w:proofErr w:type="spellStart"/>
      <w:r w:rsidR="006903B8" w:rsidRPr="006903B8">
        <w:rPr>
          <w:rFonts w:cs="Times New Roman"/>
          <w:sz w:val="18"/>
          <w:szCs w:val="18"/>
        </w:rPr>
        <w:t>IgG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 antibodies is comparatively high among pregnant women. Established </w:t>
      </w:r>
      <w:proofErr w:type="spellStart"/>
      <w:r w:rsidR="006903B8" w:rsidRPr="006903B8">
        <w:rPr>
          <w:rFonts w:cs="Times New Roman"/>
          <w:sz w:val="18"/>
          <w:szCs w:val="18"/>
        </w:rPr>
        <w:t>seronegative</w:t>
      </w:r>
      <w:proofErr w:type="spellEnd"/>
      <w:r w:rsidR="006903B8" w:rsidRPr="006903B8">
        <w:rPr>
          <w:rFonts w:cs="Times New Roman"/>
          <w:sz w:val="18"/>
          <w:szCs w:val="18"/>
        </w:rPr>
        <w:t xml:space="preserve"> women have a potential risk of natural infection and it transmission of the fetus.</w:t>
      </w:r>
    </w:p>
    <w:p w:rsidR="00AE3E37" w:rsidRPr="006903B8" w:rsidRDefault="00003357" w:rsidP="00D0056F">
      <w:pPr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</w:t>
      </w:r>
    </w:p>
    <w:p w:rsidR="00D0056F" w:rsidRDefault="00A9710C" w:rsidP="0047566A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</w:p>
    <w:p w:rsidR="0047566A" w:rsidRDefault="00A9710C" w:rsidP="0047566A">
      <w:pPr>
        <w:pStyle w:val="Heading3"/>
        <w:spacing w:before="74"/>
        <w:rPr>
          <w:color w:val="BF5A14"/>
        </w:rPr>
      </w:pPr>
      <w:r>
        <w:rPr>
          <w:color w:val="BF5A14"/>
        </w:rPr>
        <w:t>Image</w:t>
      </w:r>
    </w:p>
    <w:p w:rsidR="0047566A" w:rsidRPr="0047566A" w:rsidRDefault="0047566A" w:rsidP="0047566A">
      <w:pPr>
        <w:pStyle w:val="Heading3"/>
        <w:spacing w:before="74"/>
        <w:rPr>
          <w:color w:val="BF5A14"/>
        </w:rPr>
      </w:pPr>
    </w:p>
    <w:p w:rsidR="00AE3E37" w:rsidRDefault="0047566A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      </w:t>
      </w:r>
      <w:r w:rsidR="00003357" w:rsidRPr="00003357">
        <w:rPr>
          <w:noProof/>
        </w:rPr>
        <w:drawing>
          <wp:inline distT="0" distB="0" distL="0" distR="0">
            <wp:extent cx="3169133" cy="1704442"/>
            <wp:effectExtent l="19050" t="0" r="12217" b="0"/>
            <wp:docPr id="11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7566A" w:rsidRDefault="0047566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7566A" w:rsidRPr="0047566A" w:rsidRDefault="0047566A" w:rsidP="0047566A">
      <w:pPr>
        <w:jc w:val="both"/>
        <w:rPr>
          <w:rFonts w:cs="Times New Roman"/>
          <w:sz w:val="18"/>
          <w:szCs w:val="18"/>
        </w:rPr>
      </w:pPr>
      <w:r>
        <w:rPr>
          <w:rFonts w:ascii="Arial"/>
          <w:b/>
          <w:color w:val="BF5A14"/>
          <w:sz w:val="20"/>
        </w:rPr>
        <w:t xml:space="preserve">      </w:t>
      </w:r>
      <w:r w:rsidRPr="0047566A">
        <w:rPr>
          <w:rFonts w:cs="Times New Roman"/>
          <w:sz w:val="18"/>
          <w:szCs w:val="18"/>
        </w:rPr>
        <w:t xml:space="preserve">Figure:  </w:t>
      </w:r>
      <w:proofErr w:type="spellStart"/>
      <w:r w:rsidRPr="0047566A">
        <w:rPr>
          <w:rFonts w:cs="Times New Roman"/>
          <w:bCs/>
          <w:sz w:val="18"/>
          <w:szCs w:val="18"/>
        </w:rPr>
        <w:t>Seroprevalence</w:t>
      </w:r>
      <w:proofErr w:type="spellEnd"/>
      <w:r w:rsidRPr="0047566A">
        <w:rPr>
          <w:rFonts w:cs="Times New Roman"/>
          <w:bCs/>
          <w:sz w:val="18"/>
          <w:szCs w:val="18"/>
        </w:rPr>
        <w:t xml:space="preserve"> of </w:t>
      </w:r>
      <w:r w:rsidRPr="0047566A">
        <w:rPr>
          <w:rFonts w:cs="Times New Roman"/>
          <w:bCs/>
          <w:i/>
          <w:sz w:val="18"/>
          <w:szCs w:val="18"/>
        </w:rPr>
        <w:t>VZV</w:t>
      </w:r>
      <w:r w:rsidRPr="0047566A">
        <w:rPr>
          <w:rFonts w:cs="Times New Roman"/>
          <w:bCs/>
          <w:sz w:val="18"/>
          <w:szCs w:val="18"/>
        </w:rPr>
        <w:t xml:space="preserve"> </w:t>
      </w:r>
      <w:proofErr w:type="spellStart"/>
      <w:r w:rsidRPr="0047566A">
        <w:rPr>
          <w:rFonts w:cs="Times New Roman"/>
          <w:bCs/>
          <w:sz w:val="18"/>
          <w:szCs w:val="18"/>
        </w:rPr>
        <w:t>IgG</w:t>
      </w:r>
      <w:proofErr w:type="spellEnd"/>
      <w:r w:rsidRPr="0047566A">
        <w:rPr>
          <w:rFonts w:cs="Times New Roman"/>
          <w:bCs/>
          <w:sz w:val="18"/>
          <w:szCs w:val="18"/>
        </w:rPr>
        <w:t xml:space="preserve"> antibody </w:t>
      </w:r>
      <w:r w:rsidRPr="0047566A">
        <w:rPr>
          <w:rFonts w:cs="Times New Roman"/>
          <w:sz w:val="18"/>
          <w:szCs w:val="18"/>
        </w:rPr>
        <w:t xml:space="preserve">in the study     </w:t>
      </w:r>
    </w:p>
    <w:p w:rsidR="0047566A" w:rsidRPr="0047566A" w:rsidRDefault="0047566A" w:rsidP="0047566A">
      <w:pPr>
        <w:jc w:val="both"/>
        <w:rPr>
          <w:rFonts w:cs="Times New Roman"/>
          <w:sz w:val="18"/>
          <w:szCs w:val="18"/>
        </w:rPr>
      </w:pPr>
      <w:r w:rsidRPr="0047566A">
        <w:rPr>
          <w:rFonts w:cs="Times New Roman"/>
          <w:sz w:val="18"/>
          <w:szCs w:val="18"/>
        </w:rPr>
        <w:t xml:space="preserve">       </w:t>
      </w:r>
      <w:proofErr w:type="gramStart"/>
      <w:r w:rsidRPr="0047566A">
        <w:rPr>
          <w:rFonts w:cs="Times New Roman"/>
          <w:bCs/>
          <w:sz w:val="18"/>
          <w:szCs w:val="18"/>
        </w:rPr>
        <w:t>population</w:t>
      </w:r>
      <w:proofErr w:type="gramEnd"/>
      <w:r w:rsidRPr="0047566A">
        <w:rPr>
          <w:rFonts w:cs="Times New Roman"/>
          <w:bCs/>
          <w:sz w:val="18"/>
          <w:szCs w:val="18"/>
        </w:rPr>
        <w:t xml:space="preserve"> </w:t>
      </w:r>
      <w:r w:rsidRPr="0047566A">
        <w:rPr>
          <w:rFonts w:eastAsia="Times New Roman" w:cs="Times New Roman"/>
          <w:sz w:val="18"/>
          <w:szCs w:val="18"/>
        </w:rPr>
        <w:t>depending on the age groups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47566A" w:rsidRPr="00D0056F" w:rsidRDefault="0047566A" w:rsidP="0047566A">
      <w:pPr>
        <w:pStyle w:val="ListParagraph"/>
        <w:widowControl/>
        <w:numPr>
          <w:ilvl w:val="0"/>
          <w:numId w:val="3"/>
        </w:numPr>
        <w:autoSpaceDE w:val="0"/>
        <w:autoSpaceDN w:val="0"/>
        <w:adjustRightInd w:val="0"/>
        <w:spacing w:before="0" w:line="240" w:lineRule="auto"/>
        <w:contextualSpacing/>
        <w:rPr>
          <w:rFonts w:asciiTheme="minorHAnsi" w:hAnsiTheme="minorHAnsi"/>
          <w:sz w:val="16"/>
          <w:szCs w:val="16"/>
        </w:rPr>
      </w:pPr>
      <w:proofErr w:type="spellStart"/>
      <w:r w:rsidRPr="00D0056F">
        <w:rPr>
          <w:rFonts w:asciiTheme="minorHAnsi" w:hAnsiTheme="minorHAnsi"/>
          <w:sz w:val="16"/>
          <w:szCs w:val="16"/>
        </w:rPr>
        <w:t>AlanenA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, </w:t>
      </w:r>
      <w:proofErr w:type="spellStart"/>
      <w:r w:rsidRPr="00D0056F">
        <w:rPr>
          <w:rFonts w:asciiTheme="minorHAnsi" w:hAnsiTheme="minorHAnsi"/>
          <w:sz w:val="16"/>
          <w:szCs w:val="16"/>
        </w:rPr>
        <w:t>KahalaK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, </w:t>
      </w:r>
      <w:proofErr w:type="spellStart"/>
      <w:r w:rsidRPr="00D0056F">
        <w:rPr>
          <w:rFonts w:asciiTheme="minorHAnsi" w:hAnsiTheme="minorHAnsi"/>
          <w:sz w:val="16"/>
          <w:szCs w:val="16"/>
        </w:rPr>
        <w:t>VahlbergT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, </w:t>
      </w:r>
      <w:proofErr w:type="spellStart"/>
      <w:r w:rsidRPr="00D0056F">
        <w:rPr>
          <w:rFonts w:asciiTheme="minorHAnsi" w:hAnsiTheme="minorHAnsi"/>
          <w:sz w:val="16"/>
          <w:szCs w:val="16"/>
        </w:rPr>
        <w:t>KoskelaP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, </w:t>
      </w:r>
      <w:proofErr w:type="spellStart"/>
      <w:r w:rsidRPr="00D0056F">
        <w:rPr>
          <w:rFonts w:asciiTheme="minorHAnsi" w:hAnsiTheme="minorHAnsi"/>
          <w:sz w:val="16"/>
          <w:szCs w:val="16"/>
        </w:rPr>
        <w:t>VainionpaaR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(2005) </w:t>
      </w:r>
      <w:proofErr w:type="spellStart"/>
      <w:r w:rsidRPr="00D0056F">
        <w:rPr>
          <w:rFonts w:asciiTheme="minorHAnsi" w:hAnsiTheme="minorHAnsi"/>
          <w:sz w:val="16"/>
          <w:szCs w:val="16"/>
        </w:rPr>
        <w:t>Seroprevalence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, incidence of prenatal infections and reliability of maternal history of </w:t>
      </w:r>
      <w:proofErr w:type="spellStart"/>
      <w:r w:rsidRPr="00D0056F">
        <w:rPr>
          <w:rFonts w:asciiTheme="minorHAnsi" w:hAnsiTheme="minorHAnsi"/>
          <w:sz w:val="16"/>
          <w:szCs w:val="16"/>
        </w:rPr>
        <w:t>varicella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zoster virus, cytomegalovirus, herpes simplex virus and parvovirus B19 infection in South-Western Finland. BJOG. 112(1):50-6.</w:t>
      </w:r>
    </w:p>
    <w:p w:rsidR="0047566A" w:rsidRPr="00D0056F" w:rsidRDefault="0047566A" w:rsidP="0047566A">
      <w:pPr>
        <w:pStyle w:val="ListParagraph"/>
        <w:widowControl/>
        <w:numPr>
          <w:ilvl w:val="0"/>
          <w:numId w:val="3"/>
        </w:numPr>
        <w:autoSpaceDE w:val="0"/>
        <w:autoSpaceDN w:val="0"/>
        <w:adjustRightInd w:val="0"/>
        <w:spacing w:before="0" w:line="240" w:lineRule="auto"/>
        <w:contextualSpacing/>
        <w:rPr>
          <w:rFonts w:asciiTheme="minorHAnsi" w:hAnsiTheme="minorHAnsi"/>
          <w:sz w:val="16"/>
          <w:szCs w:val="16"/>
        </w:rPr>
      </w:pPr>
      <w:proofErr w:type="spellStart"/>
      <w:r w:rsidRPr="00D0056F">
        <w:rPr>
          <w:rFonts w:asciiTheme="minorHAnsi" w:hAnsiTheme="minorHAnsi"/>
          <w:sz w:val="16"/>
          <w:szCs w:val="16"/>
        </w:rPr>
        <w:t>Talukder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YS, </w:t>
      </w:r>
      <w:proofErr w:type="spellStart"/>
      <w:r w:rsidRPr="00D0056F">
        <w:rPr>
          <w:rFonts w:asciiTheme="minorHAnsi" w:hAnsiTheme="minorHAnsi"/>
          <w:sz w:val="16"/>
          <w:szCs w:val="16"/>
        </w:rPr>
        <w:t>Kafatos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G, Pinot de Moira A, </w:t>
      </w:r>
      <w:proofErr w:type="spellStart"/>
      <w:r w:rsidRPr="00D0056F">
        <w:rPr>
          <w:rFonts w:asciiTheme="minorHAnsi" w:hAnsiTheme="minorHAnsi"/>
          <w:sz w:val="16"/>
          <w:szCs w:val="16"/>
        </w:rPr>
        <w:t>Aquilina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J, Parker SP, </w:t>
      </w:r>
      <w:proofErr w:type="spellStart"/>
      <w:r w:rsidRPr="00D0056F">
        <w:rPr>
          <w:rFonts w:asciiTheme="minorHAnsi" w:hAnsiTheme="minorHAnsi"/>
          <w:sz w:val="16"/>
          <w:szCs w:val="16"/>
        </w:rPr>
        <w:t>Crowcroft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NS et al.</w:t>
      </w:r>
      <w:r w:rsidRPr="00D0056F">
        <w:rPr>
          <w:rFonts w:asciiTheme="minorHAnsi" w:hAnsiTheme="minorHAnsi" w:cs="AdvTimes-b"/>
          <w:sz w:val="16"/>
          <w:szCs w:val="16"/>
        </w:rPr>
        <w:t xml:space="preserve"> (2007) </w:t>
      </w:r>
      <w:r w:rsidRPr="00D0056F">
        <w:rPr>
          <w:rFonts w:asciiTheme="minorHAnsi" w:hAnsiTheme="minorHAnsi"/>
          <w:sz w:val="16"/>
          <w:szCs w:val="16"/>
        </w:rPr>
        <w:t xml:space="preserve">The </w:t>
      </w:r>
      <w:proofErr w:type="spellStart"/>
      <w:r w:rsidRPr="00D0056F">
        <w:rPr>
          <w:rFonts w:asciiTheme="minorHAnsi" w:hAnsiTheme="minorHAnsi"/>
          <w:sz w:val="16"/>
          <w:szCs w:val="16"/>
        </w:rPr>
        <w:t>seroepidemiology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of </w:t>
      </w:r>
      <w:proofErr w:type="spellStart"/>
      <w:r w:rsidRPr="00D0056F">
        <w:rPr>
          <w:rFonts w:asciiTheme="minorHAnsi" w:hAnsiTheme="minorHAnsi"/>
          <w:sz w:val="16"/>
          <w:szCs w:val="16"/>
        </w:rPr>
        <w:t>varicella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zoster virus among pregnant Bangladeshi and white British women in the London Borough of Tower Hamlets, UK. </w:t>
      </w:r>
      <w:proofErr w:type="spellStart"/>
      <w:r w:rsidRPr="00D0056F">
        <w:rPr>
          <w:rFonts w:asciiTheme="minorHAnsi" w:hAnsiTheme="minorHAnsi"/>
          <w:sz w:val="16"/>
          <w:szCs w:val="16"/>
        </w:rPr>
        <w:t>Epidemiol</w:t>
      </w:r>
      <w:proofErr w:type="spellEnd"/>
      <w:r w:rsidRPr="00D0056F">
        <w:rPr>
          <w:rFonts w:asciiTheme="minorHAnsi" w:hAnsiTheme="minorHAnsi"/>
          <w:sz w:val="16"/>
          <w:szCs w:val="16"/>
        </w:rPr>
        <w:t>. Infect. 135:1344–1353.</w:t>
      </w:r>
    </w:p>
    <w:p w:rsidR="0047566A" w:rsidRPr="00D0056F" w:rsidRDefault="0047566A" w:rsidP="0047566A">
      <w:pPr>
        <w:pStyle w:val="ListParagraph"/>
        <w:widowControl/>
        <w:numPr>
          <w:ilvl w:val="0"/>
          <w:numId w:val="3"/>
        </w:numPr>
        <w:spacing w:before="0" w:line="240" w:lineRule="auto"/>
        <w:contextualSpacing/>
        <w:rPr>
          <w:rFonts w:asciiTheme="minorHAnsi" w:hAnsiTheme="minorHAnsi" w:cs="Arial"/>
          <w:sz w:val="16"/>
          <w:szCs w:val="16"/>
        </w:rPr>
      </w:pPr>
      <w:proofErr w:type="spellStart"/>
      <w:r w:rsidRPr="00D0056F">
        <w:rPr>
          <w:rFonts w:asciiTheme="minorHAnsi" w:hAnsiTheme="minorHAnsi"/>
          <w:sz w:val="16"/>
          <w:szCs w:val="16"/>
        </w:rPr>
        <w:t>SuarezGA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, </w:t>
      </w:r>
      <w:proofErr w:type="spellStart"/>
      <w:r w:rsidRPr="00D0056F">
        <w:rPr>
          <w:rFonts w:asciiTheme="minorHAnsi" w:hAnsiTheme="minorHAnsi"/>
          <w:sz w:val="16"/>
          <w:szCs w:val="16"/>
        </w:rPr>
        <w:t>OteroG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L, De La Guerra GV, La </w:t>
      </w:r>
      <w:proofErr w:type="spellStart"/>
      <w:r w:rsidRPr="00D0056F">
        <w:rPr>
          <w:rFonts w:asciiTheme="minorHAnsi" w:hAnsiTheme="minorHAnsi"/>
          <w:sz w:val="16"/>
          <w:szCs w:val="16"/>
        </w:rPr>
        <w:t>Iglesia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MP, Solis SG, Rodriguez FA (2002)[</w:t>
      </w:r>
      <w:proofErr w:type="spellStart"/>
      <w:r w:rsidRPr="00D0056F">
        <w:rPr>
          <w:rFonts w:asciiTheme="minorHAnsi" w:hAnsiTheme="minorHAnsi"/>
          <w:sz w:val="16"/>
          <w:szCs w:val="16"/>
        </w:rPr>
        <w:t>Varicella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and parvovirus B19 immunity among pregnant women in Gijon, Spain]. Med </w:t>
      </w:r>
      <w:proofErr w:type="spellStart"/>
      <w:r w:rsidRPr="00D0056F">
        <w:rPr>
          <w:rFonts w:asciiTheme="minorHAnsi" w:hAnsiTheme="minorHAnsi"/>
          <w:sz w:val="16"/>
          <w:szCs w:val="16"/>
        </w:rPr>
        <w:t>Clin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(</w:t>
      </w:r>
      <w:proofErr w:type="spellStart"/>
      <w:r w:rsidRPr="00D0056F">
        <w:rPr>
          <w:rFonts w:asciiTheme="minorHAnsi" w:hAnsiTheme="minorHAnsi"/>
          <w:sz w:val="16"/>
          <w:szCs w:val="16"/>
        </w:rPr>
        <w:t>Barc</w:t>
      </w:r>
      <w:proofErr w:type="spellEnd"/>
      <w:r w:rsidRPr="00D0056F">
        <w:rPr>
          <w:rFonts w:asciiTheme="minorHAnsi" w:hAnsiTheme="minorHAnsi"/>
          <w:sz w:val="16"/>
          <w:szCs w:val="16"/>
        </w:rPr>
        <w:t>) 119(5):171-</w:t>
      </w:r>
      <w:r w:rsidRPr="00D0056F">
        <w:rPr>
          <w:rFonts w:asciiTheme="minorHAnsi" w:hAnsiTheme="minorHAnsi" w:cs="Arial"/>
          <w:sz w:val="16"/>
          <w:szCs w:val="16"/>
        </w:rPr>
        <w:t>3.</w:t>
      </w:r>
    </w:p>
    <w:p w:rsidR="0047566A" w:rsidRPr="00D0056F" w:rsidRDefault="0047566A" w:rsidP="0047566A">
      <w:pPr>
        <w:pStyle w:val="ListParagraph"/>
        <w:widowControl/>
        <w:numPr>
          <w:ilvl w:val="0"/>
          <w:numId w:val="3"/>
        </w:numPr>
        <w:autoSpaceDE w:val="0"/>
        <w:autoSpaceDN w:val="0"/>
        <w:adjustRightInd w:val="0"/>
        <w:spacing w:before="0" w:line="240" w:lineRule="auto"/>
        <w:contextualSpacing/>
        <w:rPr>
          <w:rFonts w:asciiTheme="minorHAnsi" w:hAnsiTheme="minorHAnsi"/>
          <w:sz w:val="16"/>
          <w:szCs w:val="16"/>
        </w:rPr>
      </w:pPr>
      <w:proofErr w:type="spellStart"/>
      <w:r w:rsidRPr="00D0056F">
        <w:rPr>
          <w:rFonts w:asciiTheme="minorHAnsi" w:hAnsiTheme="minorHAnsi"/>
          <w:sz w:val="16"/>
          <w:szCs w:val="16"/>
        </w:rPr>
        <w:t>BollaertsK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, </w:t>
      </w:r>
      <w:proofErr w:type="spellStart"/>
      <w:r w:rsidRPr="00D0056F">
        <w:rPr>
          <w:rFonts w:asciiTheme="minorHAnsi" w:hAnsiTheme="minorHAnsi"/>
          <w:sz w:val="16"/>
          <w:szCs w:val="16"/>
        </w:rPr>
        <w:t>Riera-MontesM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, </w:t>
      </w:r>
      <w:proofErr w:type="spellStart"/>
      <w:r w:rsidRPr="00D0056F">
        <w:rPr>
          <w:rFonts w:asciiTheme="minorHAnsi" w:hAnsiTheme="minorHAnsi"/>
          <w:sz w:val="16"/>
          <w:szCs w:val="16"/>
        </w:rPr>
        <w:t>HeiningerU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, </w:t>
      </w:r>
      <w:proofErr w:type="spellStart"/>
      <w:r w:rsidRPr="00D0056F">
        <w:rPr>
          <w:rFonts w:asciiTheme="minorHAnsi" w:hAnsiTheme="minorHAnsi"/>
          <w:sz w:val="16"/>
          <w:szCs w:val="16"/>
        </w:rPr>
        <w:t>HensN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, </w:t>
      </w:r>
      <w:proofErr w:type="spellStart"/>
      <w:r w:rsidRPr="00D0056F">
        <w:rPr>
          <w:rFonts w:asciiTheme="minorHAnsi" w:hAnsiTheme="minorHAnsi"/>
          <w:sz w:val="16"/>
          <w:szCs w:val="16"/>
        </w:rPr>
        <w:t>SouverainA</w:t>
      </w:r>
      <w:proofErr w:type="spellEnd"/>
      <w:proofErr w:type="gramStart"/>
      <w:r w:rsidRPr="00D0056F">
        <w:rPr>
          <w:rFonts w:asciiTheme="minorHAnsi" w:hAnsiTheme="minorHAnsi"/>
          <w:sz w:val="16"/>
          <w:szCs w:val="16"/>
        </w:rPr>
        <w:t xml:space="preserve">,  </w:t>
      </w:r>
      <w:proofErr w:type="spellStart"/>
      <w:r w:rsidRPr="00D0056F">
        <w:rPr>
          <w:rFonts w:asciiTheme="minorHAnsi" w:hAnsiTheme="minorHAnsi"/>
          <w:sz w:val="16"/>
          <w:szCs w:val="16"/>
        </w:rPr>
        <w:t>VerstraetenT</w:t>
      </w:r>
      <w:proofErr w:type="spellEnd"/>
      <w:proofErr w:type="gramEnd"/>
      <w:r w:rsidRPr="00D0056F">
        <w:rPr>
          <w:rFonts w:asciiTheme="minorHAnsi" w:hAnsiTheme="minorHAnsi"/>
          <w:sz w:val="16"/>
          <w:szCs w:val="16"/>
        </w:rPr>
        <w:t xml:space="preserve"> and </w:t>
      </w:r>
      <w:proofErr w:type="spellStart"/>
      <w:r w:rsidRPr="00D0056F">
        <w:rPr>
          <w:rFonts w:asciiTheme="minorHAnsi" w:hAnsiTheme="minorHAnsi"/>
          <w:sz w:val="16"/>
          <w:szCs w:val="16"/>
        </w:rPr>
        <w:t>Hartwig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S (2017)</w:t>
      </w:r>
      <w:r w:rsidRPr="00D0056F">
        <w:rPr>
          <w:rFonts w:asciiTheme="minorHAnsi" w:hAnsiTheme="minorHAnsi" w:cs="AdvTT532d99f6.B"/>
          <w:sz w:val="16"/>
          <w:szCs w:val="16"/>
        </w:rPr>
        <w:t xml:space="preserve"> </w:t>
      </w:r>
      <w:r w:rsidRPr="00D0056F">
        <w:rPr>
          <w:rFonts w:asciiTheme="minorHAnsi" w:hAnsiTheme="minorHAnsi"/>
          <w:sz w:val="16"/>
          <w:szCs w:val="16"/>
        </w:rPr>
        <w:t xml:space="preserve">A systematic review of </w:t>
      </w:r>
      <w:proofErr w:type="spellStart"/>
      <w:r w:rsidRPr="00D0056F">
        <w:rPr>
          <w:rFonts w:asciiTheme="minorHAnsi" w:hAnsiTheme="minorHAnsi"/>
          <w:sz w:val="16"/>
          <w:szCs w:val="16"/>
        </w:rPr>
        <w:t>varicella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D0056F">
        <w:rPr>
          <w:rFonts w:asciiTheme="minorHAnsi" w:hAnsiTheme="minorHAnsi"/>
          <w:sz w:val="16"/>
          <w:szCs w:val="16"/>
        </w:rPr>
        <w:t>seroprevalence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in European countries before universal childhood immunization: deriving incidence from </w:t>
      </w:r>
      <w:proofErr w:type="spellStart"/>
      <w:r w:rsidRPr="00D0056F">
        <w:rPr>
          <w:rFonts w:asciiTheme="minorHAnsi" w:hAnsiTheme="minorHAnsi"/>
          <w:sz w:val="16"/>
          <w:szCs w:val="16"/>
        </w:rPr>
        <w:t>seroprevalence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 data. </w:t>
      </w:r>
      <w:proofErr w:type="spellStart"/>
      <w:r w:rsidRPr="00D0056F">
        <w:rPr>
          <w:rFonts w:asciiTheme="minorHAnsi" w:hAnsiTheme="minorHAnsi"/>
          <w:sz w:val="16"/>
          <w:szCs w:val="16"/>
        </w:rPr>
        <w:t>Epidemiol</w:t>
      </w:r>
      <w:proofErr w:type="spellEnd"/>
      <w:r w:rsidRPr="00D0056F">
        <w:rPr>
          <w:rFonts w:asciiTheme="minorHAnsi" w:hAnsiTheme="minorHAnsi"/>
          <w:sz w:val="16"/>
          <w:szCs w:val="16"/>
        </w:rPr>
        <w:t xml:space="preserve">. Infect. 145:2666–2677. </w:t>
      </w:r>
    </w:p>
    <w:p w:rsidR="0047566A" w:rsidRPr="00D0056F" w:rsidRDefault="0047566A" w:rsidP="0047566A">
      <w:pPr>
        <w:pStyle w:val="Default"/>
        <w:numPr>
          <w:ilvl w:val="0"/>
          <w:numId w:val="3"/>
        </w:numPr>
        <w:jc w:val="both"/>
        <w:rPr>
          <w:rFonts w:asciiTheme="minorHAnsi" w:hAnsiTheme="minorHAnsi" w:cs="Times New Roman"/>
          <w:sz w:val="16"/>
          <w:szCs w:val="16"/>
        </w:rPr>
      </w:pPr>
      <w:proofErr w:type="spellStart"/>
      <w:r w:rsidRPr="00D0056F">
        <w:rPr>
          <w:rFonts w:asciiTheme="minorHAnsi" w:hAnsiTheme="minorHAnsi" w:cs="Times New Roman"/>
          <w:color w:val="auto"/>
          <w:sz w:val="16"/>
          <w:szCs w:val="16"/>
        </w:rPr>
        <w:t>Todorova</w:t>
      </w:r>
      <w:proofErr w:type="spellEnd"/>
      <w:r w:rsidRPr="00D0056F">
        <w:rPr>
          <w:rFonts w:asciiTheme="minorHAnsi" w:hAnsiTheme="minorHAnsi" w:cs="Times New Roman"/>
          <w:color w:val="auto"/>
          <w:sz w:val="16"/>
          <w:szCs w:val="16"/>
        </w:rPr>
        <w:t xml:space="preserve"> TT (</w:t>
      </w:r>
      <w:r w:rsidRPr="00D0056F">
        <w:rPr>
          <w:rFonts w:asciiTheme="minorHAnsi" w:hAnsiTheme="minorHAnsi" w:cs="Times New Roman"/>
          <w:sz w:val="16"/>
          <w:szCs w:val="16"/>
        </w:rPr>
        <w:t xml:space="preserve">2018) </w:t>
      </w:r>
      <w:proofErr w:type="spellStart"/>
      <w:r w:rsidRPr="00D0056F">
        <w:rPr>
          <w:rFonts w:asciiTheme="minorHAnsi" w:hAnsiTheme="minorHAnsi" w:cs="Times New Roman"/>
          <w:sz w:val="16"/>
          <w:szCs w:val="16"/>
        </w:rPr>
        <w:t>Varicella</w:t>
      </w:r>
      <w:proofErr w:type="spellEnd"/>
      <w:r w:rsidRPr="00D0056F">
        <w:rPr>
          <w:rFonts w:asciiTheme="minorHAnsi" w:hAnsiTheme="minorHAnsi" w:cs="Times New Roman"/>
          <w:sz w:val="16"/>
          <w:szCs w:val="16"/>
        </w:rPr>
        <w:t xml:space="preserve"> infection in a non-universally vaccinated population: Actual epidemiology in Bulgaria (2013–2015). Journal of Infection and Public Health 11: 326–330.</w:t>
      </w:r>
    </w:p>
    <w:p w:rsidR="00AE3E37" w:rsidRPr="00D0056F" w:rsidRDefault="00AE3E37" w:rsidP="0047566A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/>
          <w:sz w:val="16"/>
          <w:szCs w:val="16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DF2F27">
      <w:pPr>
        <w:pStyle w:val="BodyText"/>
        <w:spacing w:line="40" w:lineRule="exact"/>
        <w:ind w:left="2202"/>
        <w:rPr>
          <w:rFonts w:ascii="Calibri"/>
          <w:sz w:val="4"/>
        </w:rPr>
      </w:pPr>
      <w:r w:rsidRPr="00DF2F27">
        <w:rPr>
          <w:rFonts w:ascii="Calibri"/>
          <w:noProof/>
          <w:sz w:val="4"/>
          <w:lang w:val="en-IN" w:eastAsia="en-IN"/>
        </w:rPr>
      </w:r>
      <w:r w:rsidRPr="00DF2F27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467CC4" w:rsidRDefault="008756E6" w:rsidP="00467CC4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A4E81" w:rsidRPr="00BA4E81">
        <w:rPr>
          <w:noProof/>
        </w:rPr>
        <w:drawing>
          <wp:inline distT="0" distB="0" distL="0" distR="0">
            <wp:extent cx="639318" cy="744946"/>
            <wp:effectExtent l="19050" t="0" r="8382" b="0"/>
            <wp:docPr id="9" name="Picture 1" descr="C:\Users\user\Desktop\mkarche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karchev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25" cy="754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4E81"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D0056F" w:rsidRPr="00003357" w:rsidRDefault="00BA4E81" w:rsidP="00C07EAD">
      <w:pPr>
        <w:widowControl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A4E81">
        <w:rPr>
          <w:rFonts w:ascii="Arial" w:hAnsi="Arial" w:cs="Arial"/>
          <w:sz w:val="14"/>
          <w:szCs w:val="14"/>
        </w:rPr>
        <w:t xml:space="preserve">Assoc. Prof. Dr. </w:t>
      </w:r>
      <w:proofErr w:type="spellStart"/>
      <w:r w:rsidRPr="00BA4E81">
        <w:rPr>
          <w:rFonts w:ascii="Arial" w:hAnsi="Arial" w:cs="Arial"/>
          <w:sz w:val="14"/>
          <w:szCs w:val="14"/>
        </w:rPr>
        <w:t>Milena</w:t>
      </w:r>
      <w:proofErr w:type="spellEnd"/>
      <w:r w:rsidRPr="00BA4E81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BA4E81">
        <w:rPr>
          <w:rFonts w:ascii="Arial" w:hAnsi="Arial" w:cs="Arial"/>
          <w:sz w:val="14"/>
          <w:szCs w:val="14"/>
        </w:rPr>
        <w:t>Karcheva</w:t>
      </w:r>
      <w:proofErr w:type="spellEnd"/>
      <w:r w:rsidRPr="00BA4E81">
        <w:rPr>
          <w:rFonts w:ascii="Arial" w:hAnsi="Arial" w:cs="Arial"/>
          <w:sz w:val="14"/>
          <w:szCs w:val="14"/>
        </w:rPr>
        <w:t>, PhD</w:t>
      </w:r>
      <w:r w:rsidR="00003357">
        <w:rPr>
          <w:rFonts w:ascii="Arial" w:hAnsi="Arial" w:cs="Arial"/>
          <w:sz w:val="14"/>
          <w:szCs w:val="14"/>
        </w:rPr>
        <w:t xml:space="preserve">, </w:t>
      </w:r>
      <w:r>
        <w:rPr>
          <w:rFonts w:ascii="Arial"/>
          <w:sz w:val="14"/>
        </w:rPr>
        <w:t xml:space="preserve">has </w:t>
      </w:r>
      <w:r w:rsidR="00D0056F" w:rsidRPr="00D0056F">
        <w:rPr>
          <w:rFonts w:ascii="Arial"/>
          <w:sz w:val="14"/>
        </w:rPr>
        <w:t>after years of experience in research, evaluation and teaching in education institutio</w:t>
      </w:r>
      <w:r>
        <w:rPr>
          <w:rFonts w:ascii="Arial"/>
          <w:sz w:val="14"/>
        </w:rPr>
        <w:t xml:space="preserve">n. Her scientific </w:t>
      </w:r>
      <w:proofErr w:type="gramStart"/>
      <w:r>
        <w:rPr>
          <w:rFonts w:ascii="Arial"/>
          <w:sz w:val="14"/>
        </w:rPr>
        <w:t xml:space="preserve">interest </w:t>
      </w:r>
      <w:r w:rsidR="00003357">
        <w:rPr>
          <w:rFonts w:ascii="Arial"/>
          <w:sz w:val="14"/>
        </w:rPr>
        <w:t>are</w:t>
      </w:r>
      <w:proofErr w:type="gramEnd"/>
      <w:r w:rsidR="00003357">
        <w:rPr>
          <w:rFonts w:ascii="Arial"/>
          <w:sz w:val="14"/>
        </w:rPr>
        <w:t xml:space="preserve"> </w:t>
      </w:r>
      <w:r w:rsidR="00003357" w:rsidRPr="00003357">
        <w:rPr>
          <w:rFonts w:ascii="Arial" w:eastAsia="Times New Roman" w:hAnsi="Arial" w:cs="Arial"/>
          <w:sz w:val="14"/>
          <w:szCs w:val="14"/>
        </w:rPr>
        <w:t>Infectious Diseases of Epidemiology</w:t>
      </w:r>
      <w:r w:rsidR="00003357">
        <w:rPr>
          <w:rFonts w:ascii="Arial" w:eastAsia="Times New Roman" w:hAnsi="Arial" w:cs="Arial"/>
          <w:sz w:val="14"/>
          <w:szCs w:val="14"/>
        </w:rPr>
        <w:t xml:space="preserve"> and </w:t>
      </w:r>
      <w:r w:rsidR="00003357" w:rsidRPr="00003357">
        <w:rPr>
          <w:rFonts w:ascii="Arial" w:eastAsia="Times New Roman" w:hAnsi="Arial" w:cs="Arial"/>
          <w:sz w:val="14"/>
          <w:szCs w:val="14"/>
        </w:rPr>
        <w:t>Vaccine Preventable Diseases</w:t>
      </w:r>
      <w:r w:rsidR="00003357">
        <w:rPr>
          <w:rFonts w:ascii="Arial" w:eastAsia="Times New Roman" w:hAnsi="Arial" w:cs="Arial"/>
          <w:sz w:val="14"/>
          <w:szCs w:val="14"/>
        </w:rPr>
        <w:t>.</w:t>
      </w:r>
      <w:r w:rsidR="000033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0056F" w:rsidRPr="00003357">
        <w:rPr>
          <w:rFonts w:ascii="Arial"/>
          <w:sz w:val="14"/>
        </w:rPr>
        <w:t xml:space="preserve">Working at Medical University-Pleven, Pleven, Bulgaria, Department of Epidemiology, </w:t>
      </w:r>
      <w:proofErr w:type="spellStart"/>
      <w:r w:rsidR="00D0056F" w:rsidRPr="00003357">
        <w:rPr>
          <w:rFonts w:ascii="Arial"/>
          <w:sz w:val="14"/>
        </w:rPr>
        <w:t>Parasitology</w:t>
      </w:r>
      <w:proofErr w:type="spellEnd"/>
      <w:r w:rsidR="00D0056F" w:rsidRPr="00003357">
        <w:rPr>
          <w:rFonts w:ascii="Arial"/>
          <w:sz w:val="14"/>
        </w:rPr>
        <w:t xml:space="preserve"> and Tropical Medicine.</w:t>
      </w:r>
      <w:proofErr w:type="gramEnd"/>
    </w:p>
    <w:p w:rsidR="00AE3E37" w:rsidRDefault="00BA4E81" w:rsidP="00BA4E81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1" w:history="1">
        <w:r w:rsidR="00467CC4" w:rsidRPr="005D3033">
          <w:rPr>
            <w:rStyle w:val="Hyperlink"/>
            <w:rFonts w:ascii="Arial"/>
            <w:sz w:val="14"/>
          </w:rPr>
          <w:t>milena_karcheva@abv.bg</w:t>
        </w:r>
      </w:hyperlink>
    </w:p>
    <w:p w:rsidR="00AE3E37" w:rsidRDefault="00DF2F27">
      <w:pPr>
        <w:pStyle w:val="BodyText"/>
        <w:spacing w:before="2"/>
        <w:rPr>
          <w:rFonts w:ascii="Arial"/>
          <w:sz w:val="19"/>
        </w:rPr>
      </w:pPr>
      <w:r w:rsidRPr="00DF2F27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FBD" w:rsidRDefault="00482FBD">
      <w:r>
        <w:separator/>
      </w:r>
    </w:p>
  </w:endnote>
  <w:endnote w:type="continuationSeparator" w:id="0">
    <w:p w:rsidR="00482FBD" w:rsidRDefault="00482F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dvTimes-b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dvTT532d99f6.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F2F27">
    <w:pPr>
      <w:pStyle w:val="BodyText"/>
      <w:spacing w:line="14" w:lineRule="auto"/>
      <w:rPr>
        <w:sz w:val="20"/>
      </w:rPr>
    </w:pPr>
    <w:r w:rsidRPr="00DF2F2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DF2F27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DF2F27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FBD" w:rsidRDefault="00482FBD">
      <w:r>
        <w:separator/>
      </w:r>
    </w:p>
  </w:footnote>
  <w:footnote w:type="continuationSeparator" w:id="0">
    <w:p w:rsidR="00482FBD" w:rsidRDefault="00482F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F2F27">
    <w:pPr>
      <w:pStyle w:val="BodyText"/>
      <w:spacing w:line="14" w:lineRule="auto"/>
      <w:rPr>
        <w:sz w:val="20"/>
      </w:rPr>
    </w:pPr>
    <w:r w:rsidRPr="00DF2F2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DF2F27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752B7"/>
    <w:multiLevelType w:val="multilevel"/>
    <w:tmpl w:val="1220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B5A1C59"/>
    <w:multiLevelType w:val="hybridMultilevel"/>
    <w:tmpl w:val="256C123C"/>
    <w:lvl w:ilvl="0" w:tplc="FFBC70F6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03357"/>
    <w:rsid w:val="000D06A0"/>
    <w:rsid w:val="000E2911"/>
    <w:rsid w:val="001263DF"/>
    <w:rsid w:val="002455EC"/>
    <w:rsid w:val="00260D44"/>
    <w:rsid w:val="00292ED9"/>
    <w:rsid w:val="002A3DF5"/>
    <w:rsid w:val="00404E5B"/>
    <w:rsid w:val="00414F7B"/>
    <w:rsid w:val="004355DC"/>
    <w:rsid w:val="00467CC4"/>
    <w:rsid w:val="004749B4"/>
    <w:rsid w:val="0047566A"/>
    <w:rsid w:val="00482FBD"/>
    <w:rsid w:val="00494130"/>
    <w:rsid w:val="004F3523"/>
    <w:rsid w:val="005973B9"/>
    <w:rsid w:val="005B3A56"/>
    <w:rsid w:val="006060CE"/>
    <w:rsid w:val="0063497F"/>
    <w:rsid w:val="006903B8"/>
    <w:rsid w:val="00873DF0"/>
    <w:rsid w:val="008756E6"/>
    <w:rsid w:val="008A08B6"/>
    <w:rsid w:val="009B2D44"/>
    <w:rsid w:val="00A07E82"/>
    <w:rsid w:val="00A9710C"/>
    <w:rsid w:val="00AE3E37"/>
    <w:rsid w:val="00AF2BCD"/>
    <w:rsid w:val="00B21A57"/>
    <w:rsid w:val="00BA4E81"/>
    <w:rsid w:val="00C05278"/>
    <w:rsid w:val="00C07EAD"/>
    <w:rsid w:val="00C33602"/>
    <w:rsid w:val="00CC50ED"/>
    <w:rsid w:val="00CD6F55"/>
    <w:rsid w:val="00D0056F"/>
    <w:rsid w:val="00D47418"/>
    <w:rsid w:val="00D6475B"/>
    <w:rsid w:val="00DE3104"/>
    <w:rsid w:val="00DF2F27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tlid-translation">
    <w:name w:val="tlid-translation"/>
    <w:basedOn w:val="DefaultParagraphFont"/>
    <w:rsid w:val="006903B8"/>
  </w:style>
  <w:style w:type="paragraph" w:customStyle="1" w:styleId="Default">
    <w:name w:val="Default"/>
    <w:rsid w:val="0047566A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lena_karcheva@abv.b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Nauchna_sborna\Nauchna_2019\Anton%20Georgiev\Book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view3D>
      <c:rAngAx val="1"/>
    </c:view3D>
    <c:plotArea>
      <c:layout>
        <c:manualLayout>
          <c:layoutTarget val="inner"/>
          <c:xMode val="edge"/>
          <c:yMode val="edge"/>
          <c:x val="0.19273158056847711"/>
          <c:y val="7.3553995319291215E-2"/>
          <c:w val="0.5131359432628595"/>
          <c:h val="0.75893244036571661"/>
        </c:manualLayout>
      </c:layout>
      <c:bar3DChart>
        <c:barDir val="bar"/>
        <c:grouping val="clustered"/>
        <c:ser>
          <c:idx val="0"/>
          <c:order val="0"/>
          <c:tx>
            <c:strRef>
              <c:f>Sheet4!$V$28</c:f>
              <c:strCache>
                <c:ptCount val="1"/>
                <c:pt idx="0">
                  <c:v>up to 20 years</c:v>
                </c:pt>
              </c:strCache>
            </c:strRef>
          </c:tx>
          <c:cat>
            <c:strRef>
              <c:f>Sheet4!$W$27:$Y$27</c:f>
              <c:strCache>
                <c:ptCount val="3"/>
                <c:pt idx="0">
                  <c:v>positive</c:v>
                </c:pt>
                <c:pt idx="1">
                  <c:v>negative</c:v>
                </c:pt>
                <c:pt idx="2">
                  <c:v>eqivocal </c:v>
                </c:pt>
              </c:strCache>
            </c:strRef>
          </c:cat>
          <c:val>
            <c:numRef>
              <c:f>Sheet4!$W$28:$Y$28</c:f>
              <c:numCache>
                <c:formatCode>General</c:formatCode>
                <c:ptCount val="3"/>
                <c:pt idx="0">
                  <c:v>20</c:v>
                </c:pt>
                <c:pt idx="1">
                  <c:v>7</c:v>
                </c:pt>
                <c:pt idx="2">
                  <c:v>6</c:v>
                </c:pt>
              </c:numCache>
            </c:numRef>
          </c:val>
        </c:ser>
        <c:ser>
          <c:idx val="1"/>
          <c:order val="1"/>
          <c:tx>
            <c:strRef>
              <c:f>Sheet4!$V$29</c:f>
              <c:strCache>
                <c:ptCount val="1"/>
                <c:pt idx="0">
                  <c:v>21-30 years </c:v>
                </c:pt>
              </c:strCache>
            </c:strRef>
          </c:tx>
          <c:cat>
            <c:strRef>
              <c:f>Sheet4!$W$27:$Y$27</c:f>
              <c:strCache>
                <c:ptCount val="3"/>
                <c:pt idx="0">
                  <c:v>positive</c:v>
                </c:pt>
                <c:pt idx="1">
                  <c:v>negative</c:v>
                </c:pt>
                <c:pt idx="2">
                  <c:v>eqivocal </c:v>
                </c:pt>
              </c:strCache>
            </c:strRef>
          </c:cat>
          <c:val>
            <c:numRef>
              <c:f>Sheet4!$W$29:$Y$29</c:f>
              <c:numCache>
                <c:formatCode>General</c:formatCode>
                <c:ptCount val="3"/>
                <c:pt idx="0">
                  <c:v>99</c:v>
                </c:pt>
                <c:pt idx="1">
                  <c:v>20</c:v>
                </c:pt>
                <c:pt idx="2">
                  <c:v>19</c:v>
                </c:pt>
              </c:numCache>
            </c:numRef>
          </c:val>
        </c:ser>
        <c:ser>
          <c:idx val="2"/>
          <c:order val="2"/>
          <c:tx>
            <c:strRef>
              <c:f>Sheet4!$V$30</c:f>
              <c:strCache>
                <c:ptCount val="1"/>
                <c:pt idx="0">
                  <c:v>over 30 years</c:v>
                </c:pt>
              </c:strCache>
            </c:strRef>
          </c:tx>
          <c:cat>
            <c:strRef>
              <c:f>Sheet4!$W$27:$Y$27</c:f>
              <c:strCache>
                <c:ptCount val="3"/>
                <c:pt idx="0">
                  <c:v>positive</c:v>
                </c:pt>
                <c:pt idx="1">
                  <c:v>negative</c:v>
                </c:pt>
                <c:pt idx="2">
                  <c:v>eqivocal </c:v>
                </c:pt>
              </c:strCache>
            </c:strRef>
          </c:cat>
          <c:val>
            <c:numRef>
              <c:f>Sheet4!$W$30:$Y$30</c:f>
              <c:numCache>
                <c:formatCode>General</c:formatCode>
                <c:ptCount val="3"/>
                <c:pt idx="0">
                  <c:v>59</c:v>
                </c:pt>
                <c:pt idx="1">
                  <c:v>16</c:v>
                </c:pt>
                <c:pt idx="2">
                  <c:v>5</c:v>
                </c:pt>
              </c:numCache>
            </c:numRef>
          </c:val>
        </c:ser>
        <c:shape val="cylinder"/>
        <c:axId val="230057088"/>
        <c:axId val="230058624"/>
        <c:axId val="0"/>
      </c:bar3DChart>
      <c:catAx>
        <c:axId val="230057088"/>
        <c:scaling>
          <c:orientation val="minMax"/>
        </c:scaling>
        <c:axPos val="l"/>
        <c:tickLblPos val="nextTo"/>
        <c:txPr>
          <a:bodyPr/>
          <a:lstStyle/>
          <a:p>
            <a:pPr>
              <a:defRPr sz="900" b="1">
                <a:latin typeface="Tw Cen MT" pitchFamily="34" charset="0"/>
              </a:defRPr>
            </a:pPr>
            <a:endParaRPr lang="en-US"/>
          </a:p>
        </c:txPr>
        <c:crossAx val="230058624"/>
        <c:crosses val="autoZero"/>
        <c:auto val="1"/>
        <c:lblAlgn val="ctr"/>
        <c:lblOffset val="100"/>
      </c:catAx>
      <c:valAx>
        <c:axId val="230058624"/>
        <c:scaling>
          <c:orientation val="minMax"/>
        </c:scaling>
        <c:axPos val="b"/>
        <c:majorGridlines/>
        <c:numFmt formatCode="General" sourceLinked="1"/>
        <c:tickLblPos val="nextTo"/>
        <c:crossAx val="2300570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828485456369128"/>
          <c:y val="0.6768441808364728"/>
          <c:w val="0.275667001003009"/>
          <c:h val="0.31498432304788393"/>
        </c:manualLayout>
      </c:layout>
      <c:txPr>
        <a:bodyPr/>
        <a:lstStyle/>
        <a:p>
          <a:pPr>
            <a:defRPr sz="800" b="1">
              <a:solidFill>
                <a:schemeClr val="tx1"/>
              </a:solidFill>
              <a:latin typeface="Tw Cen MT" pitchFamily="34" charset="0"/>
            </a:defRPr>
          </a:pPr>
          <a:endParaRPr lang="en-US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11</cp:revision>
  <dcterms:created xsi:type="dcterms:W3CDTF">2019-03-02T10:21:00Z</dcterms:created>
  <dcterms:modified xsi:type="dcterms:W3CDTF">2019-03-03T08:51:00Z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