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655" w:rsidRPr="00EF7655" w:rsidRDefault="00EF7655" w:rsidP="00EF7655">
      <w:pPr>
        <w:rPr>
          <w:b/>
          <w:sz w:val="24"/>
          <w:szCs w:val="24"/>
        </w:rPr>
      </w:pPr>
      <w:r w:rsidRPr="00EF7655">
        <w:rPr>
          <w:b/>
          <w:sz w:val="24"/>
          <w:szCs w:val="24"/>
        </w:rPr>
        <w:t xml:space="preserve">Biological and Transcriptomic Signatures of Multi-strain </w:t>
      </w:r>
      <w:proofErr w:type="spellStart"/>
      <w:r w:rsidRPr="00EF7655">
        <w:rPr>
          <w:b/>
          <w:sz w:val="24"/>
          <w:szCs w:val="24"/>
        </w:rPr>
        <w:t>Seroresponsiveness</w:t>
      </w:r>
      <w:proofErr w:type="spellEnd"/>
      <w:r w:rsidRPr="00EF7655">
        <w:rPr>
          <w:b/>
          <w:sz w:val="24"/>
          <w:szCs w:val="24"/>
        </w:rPr>
        <w:t xml:space="preserve"> in Elderly Trivalent Influenza Vaccination </w:t>
      </w:r>
    </w:p>
    <w:p w:rsidR="00EF7655" w:rsidRPr="00EF7655" w:rsidRDefault="00EF7655" w:rsidP="00EF7655">
      <w:pPr>
        <w:rPr>
          <w:b/>
          <w:sz w:val="24"/>
          <w:szCs w:val="24"/>
        </w:rPr>
      </w:pPr>
      <w:r w:rsidRPr="00EF7655">
        <w:rPr>
          <w:b/>
          <w:sz w:val="24"/>
          <w:szCs w:val="24"/>
        </w:rPr>
        <w:t>Glenn Wong, Anis Larbi</w:t>
      </w:r>
    </w:p>
    <w:p w:rsidR="00EF7655" w:rsidRPr="008A2DFB" w:rsidRDefault="00EF7655" w:rsidP="00EF7655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Vaccination remains one of the most cost-effective public health strategies to alleviate the healthcare burden imposed by influenza, with the primary aim of preventing serious infections, complications, hospitalizations and death. </w:t>
      </w:r>
      <w:r>
        <w:rPr>
          <w:sz w:val="24"/>
          <w:szCs w:val="24"/>
        </w:rPr>
        <w:t xml:space="preserve">While </w:t>
      </w:r>
      <w:r>
        <w:rPr>
          <w:sz w:val="24"/>
          <w:szCs w:val="24"/>
        </w:rPr>
        <w:t>vaccination efficacy in the elderly remains poorly perceived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a growing number of reports describe high </w:t>
      </w:r>
      <w:proofErr w:type="spellStart"/>
      <w:r>
        <w:rPr>
          <w:sz w:val="24"/>
          <w:szCs w:val="24"/>
        </w:rPr>
        <w:t>seroprotection</w:t>
      </w:r>
      <w:proofErr w:type="spellEnd"/>
      <w:r>
        <w:rPr>
          <w:sz w:val="24"/>
          <w:szCs w:val="24"/>
        </w:rPr>
        <w:t xml:space="preserve"> rates (&gt;90%) and comparable vaccination efficacy between the young and old in influenza vaccinated cohorts; this heterogeneity in vaccination outcomes suggest that multiple host factors (genetics, immune competency, antigen exposure, metabolic constitution etc.) play a role in dictating vaccination outcomes in the elderly.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an earlier report, we described a cohort of 205 influenza-vaccinated elderly adults who attained high </w:t>
      </w:r>
      <w:proofErr w:type="spellStart"/>
      <w:r>
        <w:rPr>
          <w:sz w:val="24"/>
          <w:szCs w:val="24"/>
        </w:rPr>
        <w:t>seroprotection</w:t>
      </w:r>
      <w:proofErr w:type="spellEnd"/>
      <w:r>
        <w:rPr>
          <w:sz w:val="24"/>
          <w:szCs w:val="24"/>
        </w:rPr>
        <w:t xml:space="preserve"> (&gt;95%) and seroconversion (&gt;80%) rates. Since we observed considerable variability in the seroconversion capacity of individuals for each vaccine strain, we attempted to </w:t>
      </w:r>
      <w:r>
        <w:rPr>
          <w:sz w:val="24"/>
          <w:szCs w:val="24"/>
        </w:rPr>
        <w:t>identify</w:t>
      </w:r>
      <w:r>
        <w:rPr>
          <w:sz w:val="24"/>
          <w:szCs w:val="24"/>
        </w:rPr>
        <w:t xml:space="preserve"> parameters that were associated with strain responsiveness. We observed that bile acid profiles were distinct between those who responded to all influenza strains and those who did not; the latter also displayed a more senescent T-cell profile. On day 7 post-vaccination, elderly who responded to multiple influenza strains upregulated genes associated with </w:t>
      </w:r>
      <w:r w:rsidRPr="006A6ADA">
        <w:rPr>
          <w:sz w:val="24"/>
          <w:szCs w:val="24"/>
        </w:rPr>
        <w:t xml:space="preserve">B cell </w:t>
      </w:r>
      <w:r>
        <w:rPr>
          <w:sz w:val="24"/>
          <w:szCs w:val="24"/>
        </w:rPr>
        <w:t>proliferation and immunoglobulin synthesis, DNA processing and editing</w:t>
      </w:r>
      <w:r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6A6ADA">
        <w:rPr>
          <w:sz w:val="24"/>
          <w:szCs w:val="24"/>
        </w:rPr>
        <w:t>and</w:t>
      </w:r>
      <w:r>
        <w:rPr>
          <w:sz w:val="24"/>
          <w:szCs w:val="24"/>
        </w:rPr>
        <w:t xml:space="preserve"> the</w:t>
      </w:r>
      <w:r w:rsidRPr="006A6ADA">
        <w:rPr>
          <w:sz w:val="24"/>
          <w:szCs w:val="24"/>
        </w:rPr>
        <w:t xml:space="preserve"> </w:t>
      </w:r>
      <w:r>
        <w:rPr>
          <w:sz w:val="24"/>
          <w:szCs w:val="24"/>
        </w:rPr>
        <w:t>unfolded protein response (UPR).</w:t>
      </w:r>
      <w:r>
        <w:rPr>
          <w:sz w:val="24"/>
          <w:szCs w:val="24"/>
        </w:rPr>
        <w:t xml:space="preserve"> Behaviorally, those who responded better to vaccination were also more physically active.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We conclude that interventions that target</w:t>
      </w:r>
      <w:r>
        <w:rPr>
          <w:sz w:val="24"/>
          <w:szCs w:val="24"/>
        </w:rPr>
        <w:t xml:space="preserve"> the unfolded protein response may be important for the generation of a multi-strain response in the trivalent influenza vaccination (TIV) of elderly individuals.</w:t>
      </w:r>
    </w:p>
    <w:p w:rsidR="00EF7655" w:rsidRDefault="00EF7655"/>
    <w:sectPr w:rsidR="00EF7655" w:rsidSect="00AF2E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55"/>
    <w:rsid w:val="00AF2E31"/>
    <w:rsid w:val="00E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DFF61"/>
  <w15:chartTrackingRefBased/>
  <w15:docId w15:val="{A7665FF6-09BD-D942-B8B7-294F3B1F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7655"/>
    <w:pPr>
      <w:spacing w:after="200" w:line="276" w:lineRule="auto"/>
    </w:pPr>
    <w:rPr>
      <w:rFonts w:ascii="Arial" w:hAnsi="Arial" w:cs="Arial"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Wong</dc:creator>
  <cp:keywords/>
  <dc:description/>
  <cp:lastModifiedBy>Glenn Wong</cp:lastModifiedBy>
  <cp:revision>1</cp:revision>
  <dcterms:created xsi:type="dcterms:W3CDTF">2019-10-23T04:22:00Z</dcterms:created>
  <dcterms:modified xsi:type="dcterms:W3CDTF">2019-10-23T04:32:00Z</dcterms:modified>
</cp:coreProperties>
</file>