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1D5D52" w14:textId="35127214" w:rsidR="00E57AC2" w:rsidRPr="00E57AC2" w:rsidRDefault="00E57AC2" w:rsidP="00E57AC2">
      <w:pPr>
        <w:shd w:val="clear" w:color="auto" w:fill="FFFFFF"/>
        <w:rPr>
          <w:b/>
          <w:color w:val="000000"/>
          <w:lang w:val="en-US" w:eastAsia="en-US"/>
        </w:rPr>
      </w:pPr>
      <w:r w:rsidRPr="00E57AC2">
        <w:rPr>
          <w:b/>
          <w:color w:val="000000"/>
          <w:lang w:val="en-US" w:eastAsia="en-US"/>
        </w:rPr>
        <w:t>Exploring</w:t>
      </w:r>
      <w:r>
        <w:rPr>
          <w:b/>
          <w:color w:val="000000"/>
          <w:lang w:val="en-US" w:eastAsia="en-US"/>
        </w:rPr>
        <w:t xml:space="preserve"> Needle-free</w:t>
      </w:r>
      <w:r w:rsidRPr="00E57AC2">
        <w:rPr>
          <w:b/>
          <w:color w:val="000000"/>
          <w:lang w:val="en-US" w:eastAsia="en-US"/>
        </w:rPr>
        <w:t xml:space="preserve"> Transdermal Immunization Techniques for Respiratory Syncytial Virus</w:t>
      </w:r>
    </w:p>
    <w:p w14:paraId="1F7B2097" w14:textId="77777777" w:rsidR="009858D9" w:rsidRPr="001B427A" w:rsidRDefault="009858D9" w:rsidP="00E755A5">
      <w:pPr>
        <w:shd w:val="clear" w:color="auto" w:fill="FFFFFF"/>
        <w:rPr>
          <w:color w:val="212121"/>
          <w:sz w:val="22"/>
          <w:szCs w:val="22"/>
          <w:lang w:val="en-US" w:eastAsia="en-US"/>
        </w:rPr>
      </w:pPr>
    </w:p>
    <w:p w14:paraId="35E880D9" w14:textId="7BBFB23F" w:rsidR="00E755A5" w:rsidRPr="001B427A" w:rsidRDefault="00E755A5" w:rsidP="00E755A5">
      <w:pPr>
        <w:spacing w:line="360" w:lineRule="auto"/>
        <w:jc w:val="both"/>
        <w:rPr>
          <w:sz w:val="22"/>
          <w:szCs w:val="22"/>
          <w:vertAlign w:val="superscript"/>
        </w:rPr>
      </w:pPr>
      <w:r w:rsidRPr="001B427A">
        <w:rPr>
          <w:rFonts w:eastAsia="MS PGothic"/>
          <w:sz w:val="22"/>
          <w:szCs w:val="22"/>
        </w:rPr>
        <w:t>Ipshita Menon</w:t>
      </w:r>
      <w:r w:rsidRPr="001B427A">
        <w:rPr>
          <w:sz w:val="22"/>
          <w:szCs w:val="22"/>
          <w:vertAlign w:val="superscript"/>
        </w:rPr>
        <w:t>1*</w:t>
      </w:r>
      <w:r w:rsidRPr="001B427A">
        <w:rPr>
          <w:rFonts w:eastAsia="MS PGothic"/>
          <w:sz w:val="22"/>
          <w:szCs w:val="22"/>
        </w:rPr>
        <w:t>, Sucheta D’Sa</w:t>
      </w:r>
      <w:r w:rsidR="00B07EA0">
        <w:rPr>
          <w:rFonts w:eastAsia="MS PGothic"/>
          <w:sz w:val="22"/>
          <w:szCs w:val="22"/>
          <w:vertAlign w:val="superscript"/>
        </w:rPr>
        <w:t>1</w:t>
      </w:r>
      <w:r w:rsidRPr="001B427A">
        <w:rPr>
          <w:rFonts w:eastAsia="MS PGothic"/>
          <w:sz w:val="22"/>
          <w:szCs w:val="22"/>
        </w:rPr>
        <w:t>, Sang-Moo Kang</w:t>
      </w:r>
      <w:r w:rsidR="00B07EA0">
        <w:rPr>
          <w:rFonts w:eastAsia="MS PGothic"/>
          <w:sz w:val="22"/>
          <w:szCs w:val="22"/>
          <w:vertAlign w:val="superscript"/>
        </w:rPr>
        <w:t>2</w:t>
      </w:r>
      <w:r w:rsidRPr="001B427A">
        <w:rPr>
          <w:rFonts w:eastAsia="MS PGothic"/>
          <w:sz w:val="22"/>
          <w:szCs w:val="22"/>
        </w:rPr>
        <w:t xml:space="preserve">, </w:t>
      </w:r>
      <w:bookmarkStart w:id="0" w:name="_GoBack"/>
      <w:bookmarkEnd w:id="0"/>
      <w:r w:rsidRPr="001B427A">
        <w:rPr>
          <w:sz w:val="22"/>
          <w:szCs w:val="22"/>
        </w:rPr>
        <w:t>and Martin D’Souza</w:t>
      </w:r>
      <w:r w:rsidRPr="001B427A">
        <w:rPr>
          <w:sz w:val="22"/>
          <w:szCs w:val="22"/>
          <w:vertAlign w:val="superscript"/>
        </w:rPr>
        <w:t>1</w:t>
      </w:r>
    </w:p>
    <w:p w14:paraId="565F8A8B" w14:textId="77777777" w:rsidR="00B07EA0" w:rsidRDefault="00E755A5" w:rsidP="00B07EA0">
      <w:pPr>
        <w:spacing w:line="276" w:lineRule="auto"/>
        <w:jc w:val="both"/>
        <w:rPr>
          <w:i/>
          <w:sz w:val="22"/>
          <w:szCs w:val="22"/>
        </w:rPr>
      </w:pPr>
      <w:r w:rsidRPr="001B427A">
        <w:rPr>
          <w:i/>
          <w:sz w:val="22"/>
          <w:szCs w:val="22"/>
          <w:vertAlign w:val="superscript"/>
        </w:rPr>
        <w:t>1</w:t>
      </w:r>
      <w:r w:rsidRPr="001B427A">
        <w:rPr>
          <w:i/>
          <w:sz w:val="22"/>
          <w:szCs w:val="22"/>
        </w:rPr>
        <w:t>Mercer University, Vaccine Nanotechnology Laboratory, Center for Drug Delivery Research, College of Pharmacy, Atlanta, GA;</w:t>
      </w:r>
    </w:p>
    <w:p w14:paraId="7EE8C45A" w14:textId="31138EF1" w:rsidR="00E755A5" w:rsidRPr="00B07EA0" w:rsidRDefault="00B07EA0" w:rsidP="00B07EA0">
      <w:pPr>
        <w:spacing w:line="276" w:lineRule="auto"/>
        <w:jc w:val="both"/>
        <w:rPr>
          <w:i/>
          <w:sz w:val="22"/>
          <w:szCs w:val="22"/>
        </w:rPr>
      </w:pPr>
      <w:r>
        <w:rPr>
          <w:rFonts w:eastAsia="MS PGothic"/>
          <w:i/>
          <w:sz w:val="22"/>
          <w:szCs w:val="22"/>
          <w:vertAlign w:val="superscript"/>
          <w:lang w:val="en-US"/>
        </w:rPr>
        <w:t>2</w:t>
      </w:r>
      <w:r w:rsidR="00E755A5" w:rsidRPr="001B427A">
        <w:rPr>
          <w:rFonts w:eastAsia="MS PGothic"/>
          <w:i/>
          <w:sz w:val="22"/>
          <w:szCs w:val="22"/>
          <w:lang w:val="en-US"/>
        </w:rPr>
        <w:t>Georgia State University, Center for Inflammation, Immunity, and Infection, Atlanta, GA</w:t>
      </w:r>
    </w:p>
    <w:p w14:paraId="42C19A32" w14:textId="77777777" w:rsidR="00E755A5" w:rsidRPr="001B427A" w:rsidRDefault="00E755A5" w:rsidP="00E755A5">
      <w:pPr>
        <w:spacing w:line="360" w:lineRule="auto"/>
        <w:jc w:val="both"/>
        <w:rPr>
          <w:rFonts w:eastAsia="MS PGothic"/>
          <w:b/>
          <w:sz w:val="22"/>
          <w:szCs w:val="22"/>
        </w:rPr>
      </w:pPr>
    </w:p>
    <w:p w14:paraId="1845406A" w14:textId="77777777" w:rsidR="00E755A5" w:rsidRPr="001B427A" w:rsidRDefault="00E755A5" w:rsidP="00E755A5">
      <w:pPr>
        <w:spacing w:line="360" w:lineRule="auto"/>
        <w:jc w:val="both"/>
        <w:rPr>
          <w:rFonts w:eastAsia="MS PGothic"/>
          <w:b/>
          <w:sz w:val="22"/>
          <w:szCs w:val="22"/>
        </w:rPr>
      </w:pPr>
      <w:r w:rsidRPr="001B427A">
        <w:rPr>
          <w:rFonts w:eastAsia="MS PGothic"/>
          <w:b/>
          <w:sz w:val="22"/>
          <w:szCs w:val="22"/>
        </w:rPr>
        <w:t>Abstract</w:t>
      </w:r>
    </w:p>
    <w:p w14:paraId="6D31F45C" w14:textId="77777777" w:rsidR="00A53030" w:rsidRPr="00E57AC2" w:rsidRDefault="00A53030" w:rsidP="00A53030">
      <w:pPr>
        <w:spacing w:line="360" w:lineRule="auto"/>
        <w:jc w:val="both"/>
      </w:pPr>
      <w:r w:rsidRPr="00E57AC2">
        <w:t>Introduction:</w:t>
      </w:r>
    </w:p>
    <w:p w14:paraId="30784EFB" w14:textId="311816A2" w:rsidR="00A53030" w:rsidRPr="00E57AC2" w:rsidRDefault="00A53030" w:rsidP="00A53030">
      <w:pPr>
        <w:spacing w:line="360" w:lineRule="auto"/>
        <w:jc w:val="both"/>
      </w:pPr>
      <w:r w:rsidRPr="00E57AC2">
        <w:t xml:space="preserve">Vaccine-enhanced respiratory disease has thwarted the attempts to develop a vaccine for Respiratory Syncytial Virus (RSV) using the inactivated form of the virus. As a result, there is a need for a safe and effective vaccine for RSV. Fusion protein is a one of the major proteins present on the surface of the virus, which can be integrated into a virus-like particle (VLP), yielding a highly immunogenic non- virulent F-VLP antigen. </w:t>
      </w:r>
      <w:r w:rsidR="00E57AC2" w:rsidRPr="00E57AC2">
        <w:rPr>
          <w:color w:val="000000" w:themeColor="text1"/>
        </w:rPr>
        <w:t>This study aims at using a</w:t>
      </w:r>
      <w:r w:rsidR="00E57AC2">
        <w:rPr>
          <w:color w:val="000000" w:themeColor="text1"/>
        </w:rPr>
        <w:t xml:space="preserve"> needle free</w:t>
      </w:r>
      <w:r w:rsidR="00E57AC2" w:rsidRPr="00E57AC2">
        <w:rPr>
          <w:color w:val="000000" w:themeColor="text1"/>
        </w:rPr>
        <w:t xml:space="preserve"> transdermal route of administration to exploit the rich population of Langerhans cells present in the epidermis and dermis. We have used microneedles (AdminPatch®) as well as</w:t>
      </w:r>
      <w:r w:rsidRPr="00E57AC2">
        <w:t xml:space="preserve"> Precise Laser Epidermal System (P.L.E.A.S.E), a minimally invasive ablative fractional (Er: YAG) laser for creating micro-channels to deliver the antigen.</w:t>
      </w:r>
    </w:p>
    <w:p w14:paraId="127AB9D8" w14:textId="77777777" w:rsidR="00A53030" w:rsidRPr="00E57AC2" w:rsidRDefault="00A53030" w:rsidP="00A53030">
      <w:pPr>
        <w:spacing w:line="360" w:lineRule="auto"/>
        <w:jc w:val="both"/>
      </w:pPr>
      <w:r w:rsidRPr="00E57AC2">
        <w:t xml:space="preserve">Methods: </w:t>
      </w:r>
    </w:p>
    <w:p w14:paraId="093851F6" w14:textId="04FD5575" w:rsidR="00A53030" w:rsidRDefault="00A53030" w:rsidP="00A53030">
      <w:pPr>
        <w:spacing w:line="360" w:lineRule="auto"/>
        <w:jc w:val="both"/>
      </w:pPr>
      <w:r w:rsidRPr="00E57AC2">
        <w:t xml:space="preserve">In this study, the F-VLP antigen was incorporated into a biodegradable polymer matrix and spray dried to form microparticles. </w:t>
      </w:r>
      <w:r w:rsidR="00E57AC2" w:rsidRPr="00E57AC2">
        <w:rPr>
          <w:color w:val="000000" w:themeColor="text1"/>
        </w:rPr>
        <w:t xml:space="preserve">The </w:t>
      </w:r>
      <w:r w:rsidR="00E57AC2" w:rsidRPr="00E57AC2">
        <w:rPr>
          <w:i/>
          <w:iCs/>
          <w:color w:val="000000" w:themeColor="text1"/>
        </w:rPr>
        <w:t xml:space="preserve">in vitro </w:t>
      </w:r>
      <w:r w:rsidR="00E57AC2" w:rsidRPr="00E57AC2">
        <w:rPr>
          <w:color w:val="000000" w:themeColor="text1"/>
        </w:rPr>
        <w:t>immunogenicity was evaluated using Dentritic cells in a mechanistic study to evaluate surface co-stimulatory expression of the antigen presenting cells (APCs). The APCs were stimulated with the a numberb of vaccine-adjuvant combinations. Adjuvants such as Alum, Monophosphoryl lipid A, MF59™, R848, flagellin and poly (I:C) were screened to study their efficiency. In order to study the in vivo immunogenicity, vaccine-adjuvant combination was administered to C57BL/6 mice via the transdermal route using microneedles (AdminPatch®). Further, to study the efficacy of laser, m</w:t>
      </w:r>
      <w:r w:rsidRPr="00E57AC2">
        <w:t>icro-channels were created on the surface of the skin of Swiss Webster (CFW) mice using Er: YAG laser</w:t>
      </w:r>
      <w:r w:rsidR="00E57AC2" w:rsidRPr="00E57AC2">
        <w:t>. The ablative laser used</w:t>
      </w:r>
      <w:r w:rsidRPr="00E57AC2">
        <w:t xml:space="preserve"> an energy of 17.8 J/cm2 and a pulse duration of 125µs. The F-VLP microparticles along with microparticles of adjuvant monophosphoryl lipid A (MPL) was dispersed in a hydrogel base and was applied onto the micro-channels. Post immunization, the mice were then challenged with live RSV A2 (1 x 106 PFU per mouse). The mice were then sacrificed and their immune organs such as lymph nodes and spleen were collected to evaluate the in vivo immunogenicity. </w:t>
      </w:r>
    </w:p>
    <w:p w14:paraId="05C41C4F" w14:textId="77777777" w:rsidR="00E57AC2" w:rsidRPr="00E57AC2" w:rsidRDefault="00E57AC2" w:rsidP="00A53030">
      <w:pPr>
        <w:spacing w:line="360" w:lineRule="auto"/>
        <w:jc w:val="both"/>
      </w:pPr>
    </w:p>
    <w:p w14:paraId="50AD1093" w14:textId="77777777" w:rsidR="00A53030" w:rsidRPr="00E57AC2" w:rsidRDefault="00A53030" w:rsidP="00A53030">
      <w:pPr>
        <w:spacing w:line="360" w:lineRule="auto"/>
        <w:jc w:val="both"/>
      </w:pPr>
      <w:r w:rsidRPr="00E57AC2">
        <w:lastRenderedPageBreak/>
        <w:t xml:space="preserve">Results: </w:t>
      </w:r>
    </w:p>
    <w:p w14:paraId="463BF39B" w14:textId="51A215CF" w:rsidR="00E57AC2" w:rsidRPr="00E57AC2" w:rsidRDefault="00E57AC2" w:rsidP="00A53030">
      <w:pPr>
        <w:spacing w:line="360" w:lineRule="auto"/>
        <w:jc w:val="both"/>
      </w:pPr>
      <w:r w:rsidRPr="00E57AC2">
        <w:rPr>
          <w:iCs/>
          <w:color w:val="000000" w:themeColor="text1"/>
        </w:rPr>
        <w:t xml:space="preserve">The VLP based microparticulate vaccines with or without adjuvants significantly increase expression of nitric oxide, which is a hallmark of innate immunity. It also resulted in enhanced cell-surface expression of the major histocompatibility complex MHC I and MHCII as well as their costimulatory molecules </w:t>
      </w:r>
      <w:r w:rsidRPr="00E57AC2">
        <w:rPr>
          <w:color w:val="000000" w:themeColor="text1"/>
        </w:rPr>
        <w:t xml:space="preserve">CD80/86 and CD40 respectively on dendritic cells. </w:t>
      </w:r>
      <w:r w:rsidR="00A53030" w:rsidRPr="00E57AC2">
        <w:t>The transdermally administered microparticles with adjuvant (F-VLP MP+Adj) group elicited a higher CD8+ and CD4+ cell count in  lymph node and spleen cell populations when compared with the control group which was administered with transdermal F-VLP solution</w:t>
      </w:r>
      <w:r w:rsidR="00920C4C">
        <w:t xml:space="preserve"> and formalin inactivated RSV</w:t>
      </w:r>
      <w:r w:rsidR="00A53030" w:rsidRPr="00E57AC2">
        <w:t xml:space="preserve">.  </w:t>
      </w:r>
    </w:p>
    <w:p w14:paraId="31FBBC22" w14:textId="36FDEB63" w:rsidR="00A53030" w:rsidRPr="00E57AC2" w:rsidRDefault="00A53030" w:rsidP="00A53030">
      <w:pPr>
        <w:spacing w:line="360" w:lineRule="auto"/>
        <w:jc w:val="both"/>
      </w:pPr>
      <w:r w:rsidRPr="00E57AC2">
        <w:t xml:space="preserve">Conclusion: </w:t>
      </w:r>
    </w:p>
    <w:p w14:paraId="52F540EE" w14:textId="59C3C650" w:rsidR="00E755A5" w:rsidRDefault="00A53030" w:rsidP="00A53030">
      <w:pPr>
        <w:spacing w:line="360" w:lineRule="auto"/>
        <w:jc w:val="both"/>
      </w:pPr>
      <w:r w:rsidRPr="00E57AC2">
        <w:t xml:space="preserve">Microparticulate vaccine of F-VLP along with adjuvant MPL A helped in potentiating the immune response. Transdermal route of administration using an ablative laser augmented the efficacy of the microparticle vaccine. In the absence of a licensed RSV vaccine, transdermal microparticulate vaccines have immense potential and offer an alternative approach in the </w:t>
      </w:r>
      <w:r w:rsidR="00C742ED">
        <w:t xml:space="preserve">development of a vaccine to </w:t>
      </w:r>
      <w:proofErr w:type="spellStart"/>
      <w:r w:rsidR="00C742ED">
        <w:t>treat</w:t>
      </w:r>
      <w:proofErr w:type="spellEnd"/>
      <w:r w:rsidRPr="00E57AC2">
        <w:t xml:space="preserve"> RSV.</w:t>
      </w:r>
    </w:p>
    <w:p w14:paraId="2353F1D1" w14:textId="77777777" w:rsidR="0079240F" w:rsidRPr="00E57AC2" w:rsidRDefault="0079240F" w:rsidP="00A53030">
      <w:pPr>
        <w:spacing w:line="360" w:lineRule="auto"/>
        <w:jc w:val="both"/>
      </w:pPr>
    </w:p>
    <w:sectPr w:rsidR="0079240F" w:rsidRPr="00E57AC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5A5"/>
    <w:rsid w:val="000027B7"/>
    <w:rsid w:val="000A4609"/>
    <w:rsid w:val="001B427A"/>
    <w:rsid w:val="00285D02"/>
    <w:rsid w:val="00467392"/>
    <w:rsid w:val="004B6019"/>
    <w:rsid w:val="0079240F"/>
    <w:rsid w:val="007E1E1A"/>
    <w:rsid w:val="007F7638"/>
    <w:rsid w:val="008E322C"/>
    <w:rsid w:val="00920C4C"/>
    <w:rsid w:val="009303C4"/>
    <w:rsid w:val="009858D9"/>
    <w:rsid w:val="009E4604"/>
    <w:rsid w:val="00A001C7"/>
    <w:rsid w:val="00A12F04"/>
    <w:rsid w:val="00A53030"/>
    <w:rsid w:val="00A549B1"/>
    <w:rsid w:val="00B07EA0"/>
    <w:rsid w:val="00C15120"/>
    <w:rsid w:val="00C256A8"/>
    <w:rsid w:val="00C742ED"/>
    <w:rsid w:val="00C75122"/>
    <w:rsid w:val="00D30D2F"/>
    <w:rsid w:val="00DA6F23"/>
    <w:rsid w:val="00DC1543"/>
    <w:rsid w:val="00E311DB"/>
    <w:rsid w:val="00E57AC2"/>
    <w:rsid w:val="00E7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91776"/>
  <w15:chartTrackingRefBased/>
  <w15:docId w15:val="{90C438C4-5C01-433A-94D6-1CF72D479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5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755A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A549B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9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9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Ipshita Menon</dc:creator>
  <cp:keywords/>
  <dc:description/>
  <cp:lastModifiedBy>Martin J. D'Souza</cp:lastModifiedBy>
  <cp:revision>4</cp:revision>
  <dcterms:created xsi:type="dcterms:W3CDTF">2019-04-20T17:03:00Z</dcterms:created>
  <dcterms:modified xsi:type="dcterms:W3CDTF">2019-04-20T17:04:00Z</dcterms:modified>
</cp:coreProperties>
</file>