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6FB0" w:rsidRPr="00DB2938" w:rsidRDefault="000E6FB0" w:rsidP="000E6FB0">
      <w:pPr>
        <w:pStyle w:val="NormalWeb"/>
        <w:shd w:val="clear" w:color="auto" w:fill="FFFFFF"/>
        <w:rPr>
          <w:rStyle w:val="Strong"/>
          <w:color w:val="212121"/>
        </w:rPr>
      </w:pPr>
      <w:r w:rsidRPr="00DB2938">
        <w:rPr>
          <w:rStyle w:val="Strong"/>
          <w:color w:val="212121"/>
        </w:rPr>
        <w:t xml:space="preserve">Conversion </w:t>
      </w:r>
      <w:r w:rsidR="00956743" w:rsidRPr="00DB2938">
        <w:rPr>
          <w:rStyle w:val="Strong"/>
          <w:color w:val="212121"/>
        </w:rPr>
        <w:t>to</w:t>
      </w:r>
      <w:r w:rsidRPr="00DB2938">
        <w:rPr>
          <w:rStyle w:val="Strong"/>
          <w:color w:val="212121"/>
        </w:rPr>
        <w:t xml:space="preserve"> Belatacept Based Immunosuppression Regimen in Kidney Transplant Patients</w:t>
      </w:r>
      <w:r w:rsidR="00EA70FF" w:rsidRPr="00DB2938">
        <w:rPr>
          <w:rStyle w:val="Strong"/>
          <w:color w:val="212121"/>
        </w:rPr>
        <w:t>: lessons learned</w:t>
      </w:r>
    </w:p>
    <w:p w:rsidR="0049496C" w:rsidRPr="00DB2938" w:rsidRDefault="0049496C" w:rsidP="000E6FB0">
      <w:pPr>
        <w:pStyle w:val="NormalWeb"/>
        <w:shd w:val="clear" w:color="auto" w:fill="FFFFFF"/>
        <w:rPr>
          <w:rStyle w:val="Strong"/>
          <w:color w:val="212121"/>
        </w:rPr>
      </w:pPr>
      <w:r w:rsidRPr="00DB2938">
        <w:rPr>
          <w:color w:val="000000"/>
        </w:rPr>
        <w:t xml:space="preserve">Nick Huang, Christine J. Yang, Iulia Movileanu, Kathleen </w:t>
      </w:r>
      <w:proofErr w:type="spellStart"/>
      <w:r w:rsidRPr="00DB2938">
        <w:rPr>
          <w:color w:val="000000"/>
        </w:rPr>
        <w:t>Ecal</w:t>
      </w:r>
      <w:proofErr w:type="spellEnd"/>
      <w:r w:rsidRPr="00DB2938">
        <w:rPr>
          <w:color w:val="000000"/>
        </w:rPr>
        <w:t xml:space="preserve">, Ayla </w:t>
      </w:r>
      <w:proofErr w:type="spellStart"/>
      <w:r w:rsidRPr="00DB2938">
        <w:rPr>
          <w:color w:val="000000"/>
        </w:rPr>
        <w:t>Senay</w:t>
      </w:r>
      <w:proofErr w:type="spellEnd"/>
      <w:r w:rsidRPr="00DB2938">
        <w:rPr>
          <w:color w:val="000000"/>
        </w:rPr>
        <w:t xml:space="preserve">, </w:t>
      </w:r>
      <w:proofErr w:type="spellStart"/>
      <w:r w:rsidRPr="00DB2938">
        <w:rPr>
          <w:color w:val="000000"/>
        </w:rPr>
        <w:t>Reut</w:t>
      </w:r>
      <w:proofErr w:type="spellEnd"/>
      <w:r w:rsidRPr="00DB2938">
        <w:rPr>
          <w:color w:val="000000"/>
        </w:rPr>
        <w:t xml:space="preserve"> </w:t>
      </w:r>
      <w:proofErr w:type="spellStart"/>
      <w:r w:rsidRPr="00DB2938">
        <w:rPr>
          <w:color w:val="000000"/>
        </w:rPr>
        <w:t>Hod</w:t>
      </w:r>
      <w:proofErr w:type="spellEnd"/>
      <w:r w:rsidRPr="00DB2938">
        <w:rPr>
          <w:color w:val="000000"/>
        </w:rPr>
        <w:t xml:space="preserve"> </w:t>
      </w:r>
      <w:proofErr w:type="spellStart"/>
      <w:r w:rsidRPr="00DB2938">
        <w:rPr>
          <w:color w:val="000000"/>
        </w:rPr>
        <w:t>Dvorai</w:t>
      </w:r>
      <w:proofErr w:type="spellEnd"/>
      <w:r w:rsidRPr="00DB2938">
        <w:rPr>
          <w:color w:val="000000"/>
        </w:rPr>
        <w:t xml:space="preserve">, </w:t>
      </w:r>
      <w:r w:rsidR="00DB2938" w:rsidRPr="00DB2938">
        <w:t xml:space="preserve">Oleh </w:t>
      </w:r>
      <w:proofErr w:type="spellStart"/>
      <w:r w:rsidR="00DB2938" w:rsidRPr="00DB2938">
        <w:t>Pankewycz</w:t>
      </w:r>
      <w:proofErr w:type="spellEnd"/>
      <w:r w:rsidR="00DB2938" w:rsidRPr="00DB2938">
        <w:rPr>
          <w:color w:val="000000"/>
        </w:rPr>
        <w:t xml:space="preserve">, </w:t>
      </w:r>
      <w:r w:rsidRPr="00DB2938">
        <w:rPr>
          <w:color w:val="000000"/>
        </w:rPr>
        <w:t xml:space="preserve">Rauf </w:t>
      </w:r>
      <w:proofErr w:type="spellStart"/>
      <w:r w:rsidRPr="00DB2938">
        <w:rPr>
          <w:color w:val="000000"/>
        </w:rPr>
        <w:t>Shahbazov</w:t>
      </w:r>
      <w:proofErr w:type="spellEnd"/>
      <w:r w:rsidRPr="00DB2938">
        <w:rPr>
          <w:color w:val="000000"/>
        </w:rPr>
        <w:t xml:space="preserve">, Mark </w:t>
      </w:r>
      <w:proofErr w:type="spellStart"/>
      <w:r w:rsidRPr="00DB2938">
        <w:rPr>
          <w:color w:val="000000"/>
        </w:rPr>
        <w:t>Laftavi</w:t>
      </w:r>
      <w:proofErr w:type="spellEnd"/>
      <w:r w:rsidRPr="00DB2938">
        <w:rPr>
          <w:color w:val="000000"/>
        </w:rPr>
        <w:t>, and Reza F. Saidi</w:t>
      </w:r>
    </w:p>
    <w:p w:rsidR="00BE0D12" w:rsidRPr="00BE0D12" w:rsidRDefault="00BE0D12" w:rsidP="00BE0D12">
      <w:pPr>
        <w:spacing w:before="100" w:beforeAutospacing="1" w:after="100" w:afterAutospacing="1" w:line="240" w:lineRule="auto"/>
        <w:rPr>
          <w:rFonts w:ascii="Times New Roman" w:eastAsia="Times New Roman" w:hAnsi="Times New Roman" w:cs="Times New Roman"/>
          <w:color w:val="000000"/>
          <w:sz w:val="27"/>
          <w:szCs w:val="27"/>
        </w:rPr>
      </w:pPr>
      <w:r w:rsidRPr="00BE0D12">
        <w:rPr>
          <w:rFonts w:ascii="Times New Roman" w:eastAsia="Times New Roman" w:hAnsi="Times New Roman" w:cs="Times New Roman"/>
          <w:color w:val="000000"/>
          <w:sz w:val="27"/>
          <w:szCs w:val="27"/>
        </w:rPr>
        <w:t xml:space="preserve">Conversion to </w:t>
      </w:r>
      <w:proofErr w:type="spellStart"/>
      <w:r w:rsidRPr="00BE0D12">
        <w:rPr>
          <w:rFonts w:ascii="Times New Roman" w:eastAsia="Times New Roman" w:hAnsi="Times New Roman" w:cs="Times New Roman"/>
          <w:color w:val="000000"/>
          <w:sz w:val="27"/>
          <w:szCs w:val="27"/>
        </w:rPr>
        <w:t>Belatacept</w:t>
      </w:r>
      <w:proofErr w:type="spellEnd"/>
      <w:r w:rsidRPr="00BE0D12">
        <w:rPr>
          <w:rFonts w:ascii="Times New Roman" w:eastAsia="Times New Roman" w:hAnsi="Times New Roman" w:cs="Times New Roman"/>
          <w:color w:val="000000"/>
          <w:sz w:val="27"/>
          <w:szCs w:val="27"/>
        </w:rPr>
        <w:t xml:space="preserve"> Based Immunosuppression Regimen in Kidney Transplant Patients: lessons learned</w:t>
      </w:r>
    </w:p>
    <w:p w:rsidR="00BE0D12" w:rsidRPr="00BE0D12" w:rsidRDefault="00BE0D12" w:rsidP="00BE0D12">
      <w:pPr>
        <w:spacing w:before="100" w:beforeAutospacing="1" w:after="100" w:afterAutospacing="1" w:line="240" w:lineRule="auto"/>
        <w:rPr>
          <w:rFonts w:ascii="Times New Roman" w:eastAsia="Times New Roman" w:hAnsi="Times New Roman" w:cs="Times New Roman"/>
          <w:color w:val="000000"/>
          <w:sz w:val="27"/>
          <w:szCs w:val="27"/>
        </w:rPr>
      </w:pPr>
      <w:r w:rsidRPr="00BE0D12">
        <w:rPr>
          <w:rFonts w:ascii="Times New Roman" w:eastAsia="Times New Roman" w:hAnsi="Times New Roman" w:cs="Times New Roman"/>
          <w:color w:val="000000"/>
          <w:sz w:val="27"/>
          <w:szCs w:val="27"/>
        </w:rPr>
        <w:t xml:space="preserve">Nick Huang, Christine J. Yang, Iulia </w:t>
      </w:r>
      <w:proofErr w:type="spellStart"/>
      <w:r w:rsidRPr="00BE0D12">
        <w:rPr>
          <w:rFonts w:ascii="Times New Roman" w:eastAsia="Times New Roman" w:hAnsi="Times New Roman" w:cs="Times New Roman"/>
          <w:color w:val="000000"/>
          <w:sz w:val="27"/>
          <w:szCs w:val="27"/>
        </w:rPr>
        <w:t>Movileanu</w:t>
      </w:r>
      <w:proofErr w:type="spellEnd"/>
      <w:r w:rsidRPr="00BE0D12">
        <w:rPr>
          <w:rFonts w:ascii="Times New Roman" w:eastAsia="Times New Roman" w:hAnsi="Times New Roman" w:cs="Times New Roman"/>
          <w:color w:val="000000"/>
          <w:sz w:val="27"/>
          <w:szCs w:val="27"/>
        </w:rPr>
        <w:t xml:space="preserve">, Kathleen </w:t>
      </w:r>
      <w:proofErr w:type="spellStart"/>
      <w:r w:rsidRPr="00BE0D12">
        <w:rPr>
          <w:rFonts w:ascii="Times New Roman" w:eastAsia="Times New Roman" w:hAnsi="Times New Roman" w:cs="Times New Roman"/>
          <w:color w:val="000000"/>
          <w:sz w:val="27"/>
          <w:szCs w:val="27"/>
        </w:rPr>
        <w:t>Ecal</w:t>
      </w:r>
      <w:proofErr w:type="spellEnd"/>
      <w:r w:rsidRPr="00BE0D12">
        <w:rPr>
          <w:rFonts w:ascii="Times New Roman" w:eastAsia="Times New Roman" w:hAnsi="Times New Roman" w:cs="Times New Roman"/>
          <w:color w:val="000000"/>
          <w:sz w:val="27"/>
          <w:szCs w:val="27"/>
        </w:rPr>
        <w:t xml:space="preserve">, Ayla </w:t>
      </w:r>
      <w:proofErr w:type="spellStart"/>
      <w:r w:rsidRPr="00BE0D12">
        <w:rPr>
          <w:rFonts w:ascii="Times New Roman" w:eastAsia="Times New Roman" w:hAnsi="Times New Roman" w:cs="Times New Roman"/>
          <w:color w:val="000000"/>
          <w:sz w:val="27"/>
          <w:szCs w:val="27"/>
        </w:rPr>
        <w:t>Senay</w:t>
      </w:r>
      <w:proofErr w:type="spellEnd"/>
      <w:r w:rsidRPr="00BE0D12">
        <w:rPr>
          <w:rFonts w:ascii="Times New Roman" w:eastAsia="Times New Roman" w:hAnsi="Times New Roman" w:cs="Times New Roman"/>
          <w:color w:val="000000"/>
          <w:sz w:val="27"/>
          <w:szCs w:val="27"/>
        </w:rPr>
        <w:t xml:space="preserve">, </w:t>
      </w:r>
      <w:proofErr w:type="spellStart"/>
      <w:r w:rsidRPr="00BE0D12">
        <w:rPr>
          <w:rFonts w:ascii="Times New Roman" w:eastAsia="Times New Roman" w:hAnsi="Times New Roman" w:cs="Times New Roman"/>
          <w:color w:val="000000"/>
          <w:sz w:val="27"/>
          <w:szCs w:val="27"/>
        </w:rPr>
        <w:t>Reut</w:t>
      </w:r>
      <w:proofErr w:type="spellEnd"/>
      <w:r w:rsidRPr="00BE0D12">
        <w:rPr>
          <w:rFonts w:ascii="Times New Roman" w:eastAsia="Times New Roman" w:hAnsi="Times New Roman" w:cs="Times New Roman"/>
          <w:color w:val="000000"/>
          <w:sz w:val="27"/>
          <w:szCs w:val="27"/>
        </w:rPr>
        <w:t xml:space="preserve"> </w:t>
      </w:r>
      <w:proofErr w:type="spellStart"/>
      <w:r w:rsidRPr="00BE0D12">
        <w:rPr>
          <w:rFonts w:ascii="Times New Roman" w:eastAsia="Times New Roman" w:hAnsi="Times New Roman" w:cs="Times New Roman"/>
          <w:color w:val="000000"/>
          <w:sz w:val="27"/>
          <w:szCs w:val="27"/>
        </w:rPr>
        <w:t>Hod</w:t>
      </w:r>
      <w:proofErr w:type="spellEnd"/>
      <w:r w:rsidRPr="00BE0D12">
        <w:rPr>
          <w:rFonts w:ascii="Times New Roman" w:eastAsia="Times New Roman" w:hAnsi="Times New Roman" w:cs="Times New Roman"/>
          <w:color w:val="000000"/>
          <w:sz w:val="27"/>
          <w:szCs w:val="27"/>
        </w:rPr>
        <w:t xml:space="preserve"> </w:t>
      </w:r>
      <w:proofErr w:type="spellStart"/>
      <w:r w:rsidRPr="00BE0D12">
        <w:rPr>
          <w:rFonts w:ascii="Times New Roman" w:eastAsia="Times New Roman" w:hAnsi="Times New Roman" w:cs="Times New Roman"/>
          <w:color w:val="000000"/>
          <w:sz w:val="27"/>
          <w:szCs w:val="27"/>
        </w:rPr>
        <w:t>Dvorai</w:t>
      </w:r>
      <w:proofErr w:type="spellEnd"/>
      <w:r w:rsidRPr="00BE0D12">
        <w:rPr>
          <w:rFonts w:ascii="Times New Roman" w:eastAsia="Times New Roman" w:hAnsi="Times New Roman" w:cs="Times New Roman"/>
          <w:color w:val="000000"/>
          <w:sz w:val="27"/>
          <w:szCs w:val="27"/>
        </w:rPr>
        <w:t xml:space="preserve">, Rauf </w:t>
      </w:r>
      <w:proofErr w:type="spellStart"/>
      <w:r w:rsidRPr="00BE0D12">
        <w:rPr>
          <w:rFonts w:ascii="Times New Roman" w:eastAsia="Times New Roman" w:hAnsi="Times New Roman" w:cs="Times New Roman"/>
          <w:color w:val="000000"/>
          <w:sz w:val="27"/>
          <w:szCs w:val="27"/>
        </w:rPr>
        <w:t>Shahbazov</w:t>
      </w:r>
      <w:proofErr w:type="spellEnd"/>
      <w:r w:rsidRPr="00BE0D12">
        <w:rPr>
          <w:rFonts w:ascii="Times New Roman" w:eastAsia="Times New Roman" w:hAnsi="Times New Roman" w:cs="Times New Roman"/>
          <w:color w:val="000000"/>
          <w:sz w:val="27"/>
          <w:szCs w:val="27"/>
        </w:rPr>
        <w:t xml:space="preserve">, Mark </w:t>
      </w:r>
      <w:proofErr w:type="spellStart"/>
      <w:r w:rsidRPr="00BE0D12">
        <w:rPr>
          <w:rFonts w:ascii="Times New Roman" w:eastAsia="Times New Roman" w:hAnsi="Times New Roman" w:cs="Times New Roman"/>
          <w:color w:val="000000"/>
          <w:sz w:val="27"/>
          <w:szCs w:val="27"/>
        </w:rPr>
        <w:t>Laftavi</w:t>
      </w:r>
      <w:proofErr w:type="spellEnd"/>
      <w:r w:rsidRPr="00BE0D12">
        <w:rPr>
          <w:rFonts w:ascii="Times New Roman" w:eastAsia="Times New Roman" w:hAnsi="Times New Roman" w:cs="Times New Roman"/>
          <w:color w:val="000000"/>
          <w:sz w:val="27"/>
          <w:szCs w:val="27"/>
        </w:rPr>
        <w:t>, and Reza F. Saidi</w:t>
      </w:r>
    </w:p>
    <w:p w:rsidR="005A0863" w:rsidRDefault="005A0863" w:rsidP="005A0863">
      <w:pPr>
        <w:pStyle w:val="NormalWeb"/>
        <w:rPr>
          <w:color w:val="000000"/>
          <w:sz w:val="27"/>
          <w:szCs w:val="27"/>
        </w:rPr>
      </w:pPr>
      <w:r>
        <w:rPr>
          <w:color w:val="000000"/>
          <w:sz w:val="27"/>
          <w:szCs w:val="27"/>
        </w:rPr>
        <w:t xml:space="preserve">Background: The costimulatory inhibitor, </w:t>
      </w:r>
      <w:proofErr w:type="spellStart"/>
      <w:r>
        <w:rPr>
          <w:color w:val="000000"/>
          <w:sz w:val="27"/>
          <w:szCs w:val="27"/>
        </w:rPr>
        <w:t>belatacept</w:t>
      </w:r>
      <w:proofErr w:type="spellEnd"/>
      <w:r>
        <w:rPr>
          <w:color w:val="000000"/>
          <w:sz w:val="27"/>
          <w:szCs w:val="27"/>
        </w:rPr>
        <w:t xml:space="preserve"> (Bela) has been shown to be an effective alternative in several clinical situations including calcineurin toxicity, de novo alloantibody formation and thrombotic microscopic angiopathy. In order to further explore the usefulness of Bela under various clinical scenarios, we performed a retrospective analysis of a prospective database of all recipients who were converted to </w:t>
      </w:r>
      <w:proofErr w:type="spellStart"/>
      <w:r>
        <w:rPr>
          <w:color w:val="000000"/>
          <w:sz w:val="27"/>
          <w:szCs w:val="27"/>
        </w:rPr>
        <w:t>betatacept</w:t>
      </w:r>
      <w:proofErr w:type="spellEnd"/>
      <w:r>
        <w:rPr>
          <w:color w:val="000000"/>
          <w:sz w:val="27"/>
          <w:szCs w:val="27"/>
        </w:rPr>
        <w:t xml:space="preserve"> maintenance immunosuppression regimen after kidney transplantation.</w:t>
      </w:r>
    </w:p>
    <w:p w:rsidR="005A0863" w:rsidRDefault="005A0863" w:rsidP="005A0863">
      <w:pPr>
        <w:pStyle w:val="NormalWeb"/>
        <w:rPr>
          <w:color w:val="000000"/>
          <w:sz w:val="27"/>
          <w:szCs w:val="27"/>
        </w:rPr>
      </w:pPr>
      <w:r>
        <w:rPr>
          <w:color w:val="000000"/>
          <w:sz w:val="27"/>
          <w:szCs w:val="27"/>
        </w:rPr>
        <w:t>Methods: This single center study reviewed the electronic records of all patients who received a KT between 2016 and 2020. A total of 57 patients were converted to Bela. Of these recipients, 25 (43.8%) converted within the first 6 months and 32 (56.2%) converted after 6 months. The indications for conversion were: calcineurin inhibitor (CNI) toxicity (26.3%), thrombotic microangiopathy (8.8%), de novo DSA (36.8%), chronic antibody rejection (AMR) with or without significant fibrosis (IFTA) (28.1%).</w:t>
      </w:r>
    </w:p>
    <w:p w:rsidR="00BE0D12" w:rsidRPr="00BE0D12" w:rsidRDefault="005A0863" w:rsidP="005A0863">
      <w:pPr>
        <w:spacing w:before="100" w:beforeAutospacing="1" w:after="100" w:afterAutospacing="1" w:line="240" w:lineRule="auto"/>
        <w:rPr>
          <w:rFonts w:ascii="Times New Roman" w:eastAsia="Times New Roman" w:hAnsi="Times New Roman" w:cs="Times New Roman"/>
          <w:color w:val="000000"/>
          <w:sz w:val="27"/>
          <w:szCs w:val="27"/>
        </w:rPr>
      </w:pPr>
      <w:r w:rsidRPr="00BE0D12">
        <w:rPr>
          <w:rFonts w:ascii="Times New Roman" w:eastAsia="Times New Roman" w:hAnsi="Times New Roman" w:cs="Times New Roman"/>
          <w:color w:val="000000"/>
          <w:sz w:val="27"/>
          <w:szCs w:val="27"/>
        </w:rPr>
        <w:t xml:space="preserve"> </w:t>
      </w:r>
      <w:r w:rsidR="00BE0D12" w:rsidRPr="00BE0D12">
        <w:rPr>
          <w:rFonts w:ascii="Times New Roman" w:eastAsia="Times New Roman" w:hAnsi="Times New Roman" w:cs="Times New Roman"/>
          <w:color w:val="000000"/>
          <w:sz w:val="27"/>
          <w:szCs w:val="27"/>
        </w:rPr>
        <w:t>Results:</w:t>
      </w:r>
    </w:p>
    <w:p w:rsidR="00BE0D12" w:rsidRPr="00BE0D12" w:rsidRDefault="00BE0D12" w:rsidP="00BE0D12">
      <w:pPr>
        <w:spacing w:before="100" w:beforeAutospacing="1" w:after="100" w:afterAutospacing="1" w:line="240" w:lineRule="auto"/>
        <w:rPr>
          <w:rFonts w:ascii="Times New Roman" w:eastAsia="Times New Roman" w:hAnsi="Times New Roman" w:cs="Times New Roman"/>
          <w:color w:val="000000"/>
          <w:sz w:val="27"/>
          <w:szCs w:val="27"/>
        </w:rPr>
      </w:pPr>
      <w:r w:rsidRPr="00BE0D12">
        <w:rPr>
          <w:rFonts w:ascii="Times New Roman" w:eastAsia="Times New Roman" w:hAnsi="Times New Roman" w:cs="Times New Roman"/>
          <w:color w:val="000000"/>
          <w:sz w:val="27"/>
          <w:szCs w:val="27"/>
        </w:rPr>
        <w:t xml:space="preserve">Early conversion significantly improved GFR at 3, 6- and 12-months post-conversion. However, late conversion has no effect on GFR . </w:t>
      </w:r>
      <w:proofErr w:type="gramStart"/>
      <w:r w:rsidR="00304FAD">
        <w:rPr>
          <w:rFonts w:ascii="Times New Roman" w:eastAsia="Times New Roman" w:hAnsi="Times New Roman" w:cs="Times New Roman"/>
          <w:color w:val="000000"/>
          <w:sz w:val="27"/>
          <w:szCs w:val="27"/>
        </w:rPr>
        <w:t>Thirty four</w:t>
      </w:r>
      <w:proofErr w:type="gramEnd"/>
      <w:r w:rsidR="00304FAD">
        <w:rPr>
          <w:rFonts w:ascii="Times New Roman" w:eastAsia="Times New Roman" w:hAnsi="Times New Roman" w:cs="Times New Roman"/>
          <w:color w:val="000000"/>
          <w:sz w:val="27"/>
          <w:szCs w:val="27"/>
        </w:rPr>
        <w:t xml:space="preserve"> </w:t>
      </w:r>
      <w:r w:rsidRPr="00BE0D12">
        <w:rPr>
          <w:rFonts w:ascii="Times New Roman" w:eastAsia="Times New Roman" w:hAnsi="Times New Roman" w:cs="Times New Roman"/>
          <w:color w:val="000000"/>
          <w:sz w:val="27"/>
          <w:szCs w:val="27"/>
        </w:rPr>
        <w:t xml:space="preserve">(59.63%) patients were converted </w:t>
      </w:r>
      <w:r w:rsidR="00211457" w:rsidRPr="00211457">
        <w:rPr>
          <w:rFonts w:ascii="Times New Roman" w:hAnsi="Times New Roman" w:cs="Times New Roman"/>
          <w:color w:val="000000"/>
          <w:sz w:val="24"/>
          <w:szCs w:val="24"/>
        </w:rPr>
        <w:t>Bela, mycophenolate and steroids and 23 (40.4%) converted to Bela, low dose CNI and steroids</w:t>
      </w:r>
      <w:r w:rsidR="00211457">
        <w:rPr>
          <w:color w:val="000000"/>
          <w:sz w:val="27"/>
          <w:szCs w:val="27"/>
        </w:rPr>
        <w:t>.</w:t>
      </w:r>
      <w:r w:rsidRPr="00BE0D12">
        <w:rPr>
          <w:rFonts w:ascii="Times New Roman" w:eastAsia="Times New Roman" w:hAnsi="Times New Roman" w:cs="Times New Roman"/>
          <w:color w:val="000000"/>
          <w:sz w:val="27"/>
          <w:szCs w:val="27"/>
        </w:rPr>
        <w:t xml:space="preserve"> Only 6 patients (10.5%) developed rejection after conversion, 5 (83.4%) in early conversion group. Five patients (83.4%) had T cell mediated cellular rejection and one patient (16.6%) had acute antibody mediated rejection. The rejection rate was 14.7% in group of </w:t>
      </w:r>
      <w:proofErr w:type="spellStart"/>
      <w:r w:rsidRPr="00BE0D12">
        <w:rPr>
          <w:rFonts w:ascii="Times New Roman" w:eastAsia="Times New Roman" w:hAnsi="Times New Roman" w:cs="Times New Roman"/>
          <w:color w:val="000000"/>
          <w:sz w:val="27"/>
          <w:szCs w:val="27"/>
        </w:rPr>
        <w:t>belatacept</w:t>
      </w:r>
      <w:proofErr w:type="spellEnd"/>
      <w:r w:rsidRPr="00BE0D12">
        <w:rPr>
          <w:rFonts w:ascii="Times New Roman" w:eastAsia="Times New Roman" w:hAnsi="Times New Roman" w:cs="Times New Roman"/>
          <w:color w:val="000000"/>
          <w:sz w:val="27"/>
          <w:szCs w:val="27"/>
        </w:rPr>
        <w:t xml:space="preserve"> without CNI compared to 4.3% in the group on </w:t>
      </w:r>
      <w:proofErr w:type="spellStart"/>
      <w:r w:rsidRPr="00BE0D12">
        <w:rPr>
          <w:rFonts w:ascii="Times New Roman" w:eastAsia="Times New Roman" w:hAnsi="Times New Roman" w:cs="Times New Roman"/>
          <w:color w:val="000000"/>
          <w:sz w:val="27"/>
          <w:szCs w:val="27"/>
        </w:rPr>
        <w:t>belatacept</w:t>
      </w:r>
      <w:proofErr w:type="spellEnd"/>
      <w:r w:rsidRPr="00BE0D12">
        <w:rPr>
          <w:rFonts w:ascii="Times New Roman" w:eastAsia="Times New Roman" w:hAnsi="Times New Roman" w:cs="Times New Roman"/>
          <w:color w:val="000000"/>
          <w:sz w:val="27"/>
          <w:szCs w:val="27"/>
        </w:rPr>
        <w:t xml:space="preserve"> with low dose CNI (p&lt;0.001). All patients with chronic AMR±IFTA were in late conversion group (59.2%) which led to stabilization in their GFR (32 vs 30 mL/min) at </w:t>
      </w:r>
      <w:proofErr w:type="gramStart"/>
      <w:r w:rsidRPr="00BE0D12">
        <w:rPr>
          <w:rFonts w:ascii="Times New Roman" w:eastAsia="Times New Roman" w:hAnsi="Times New Roman" w:cs="Times New Roman"/>
          <w:color w:val="000000"/>
          <w:sz w:val="27"/>
          <w:szCs w:val="27"/>
        </w:rPr>
        <w:t>1 year</w:t>
      </w:r>
      <w:proofErr w:type="gramEnd"/>
      <w:r w:rsidRPr="00BE0D12">
        <w:rPr>
          <w:rFonts w:ascii="Times New Roman" w:eastAsia="Times New Roman" w:hAnsi="Times New Roman" w:cs="Times New Roman"/>
          <w:color w:val="000000"/>
          <w:sz w:val="27"/>
          <w:szCs w:val="27"/>
        </w:rPr>
        <w:t xml:space="preserve"> post conversion. Out of 21 patients who were converted to </w:t>
      </w:r>
      <w:proofErr w:type="spellStart"/>
      <w:r w:rsidRPr="00BE0D12">
        <w:rPr>
          <w:rFonts w:ascii="Times New Roman" w:eastAsia="Times New Roman" w:hAnsi="Times New Roman" w:cs="Times New Roman"/>
          <w:color w:val="000000"/>
          <w:sz w:val="27"/>
          <w:szCs w:val="27"/>
        </w:rPr>
        <w:t>belatacept</w:t>
      </w:r>
      <w:proofErr w:type="spellEnd"/>
      <w:r w:rsidRPr="00BE0D12">
        <w:rPr>
          <w:rFonts w:ascii="Times New Roman" w:eastAsia="Times New Roman" w:hAnsi="Times New Roman" w:cs="Times New Roman"/>
          <w:color w:val="000000"/>
          <w:sz w:val="27"/>
          <w:szCs w:val="27"/>
        </w:rPr>
        <w:t xml:space="preserve"> due to de-</w:t>
      </w:r>
      <w:proofErr w:type="spellStart"/>
      <w:r w:rsidRPr="00BE0D12">
        <w:rPr>
          <w:rFonts w:ascii="Times New Roman" w:eastAsia="Times New Roman" w:hAnsi="Times New Roman" w:cs="Times New Roman"/>
          <w:color w:val="000000"/>
          <w:sz w:val="27"/>
          <w:szCs w:val="27"/>
        </w:rPr>
        <w:t>novoDSA</w:t>
      </w:r>
      <w:proofErr w:type="spellEnd"/>
      <w:r w:rsidRPr="00BE0D12">
        <w:rPr>
          <w:rFonts w:ascii="Times New Roman" w:eastAsia="Times New Roman" w:hAnsi="Times New Roman" w:cs="Times New Roman"/>
          <w:color w:val="000000"/>
          <w:sz w:val="27"/>
          <w:szCs w:val="27"/>
        </w:rPr>
        <w:t>, 9 (42.9%) patients had complete or partial resolution of DSA. Interestingly, in early conversion group 80% responded vs (31.2%) in late conversion group (P&lt;0.001)</w:t>
      </w:r>
    </w:p>
    <w:p w:rsidR="00BE0D12" w:rsidRPr="00BE0D12" w:rsidRDefault="00BE0D12" w:rsidP="00BE0D12">
      <w:pPr>
        <w:spacing w:before="100" w:beforeAutospacing="1" w:after="100" w:afterAutospacing="1" w:line="240" w:lineRule="auto"/>
        <w:rPr>
          <w:rFonts w:ascii="Times New Roman" w:eastAsia="Times New Roman" w:hAnsi="Times New Roman" w:cs="Times New Roman"/>
          <w:color w:val="000000"/>
          <w:sz w:val="27"/>
          <w:szCs w:val="27"/>
        </w:rPr>
      </w:pPr>
      <w:r w:rsidRPr="00BE0D12">
        <w:rPr>
          <w:rFonts w:ascii="Times New Roman" w:eastAsia="Times New Roman" w:hAnsi="Times New Roman" w:cs="Times New Roman"/>
          <w:color w:val="000000"/>
          <w:sz w:val="27"/>
          <w:szCs w:val="27"/>
        </w:rPr>
        <w:lastRenderedPageBreak/>
        <w:t xml:space="preserve">Conclusions: </w:t>
      </w:r>
      <w:bookmarkStart w:id="0" w:name="_GoBack"/>
      <w:r w:rsidRPr="00BE0D12">
        <w:rPr>
          <w:rFonts w:ascii="Times New Roman" w:eastAsia="Times New Roman" w:hAnsi="Times New Roman" w:cs="Times New Roman"/>
          <w:color w:val="000000"/>
          <w:sz w:val="27"/>
          <w:szCs w:val="27"/>
        </w:rPr>
        <w:t xml:space="preserve">The conversion to </w:t>
      </w:r>
      <w:proofErr w:type="spellStart"/>
      <w:r w:rsidRPr="00BE0D12">
        <w:rPr>
          <w:rFonts w:ascii="Times New Roman" w:eastAsia="Times New Roman" w:hAnsi="Times New Roman" w:cs="Times New Roman"/>
          <w:color w:val="000000"/>
          <w:sz w:val="27"/>
          <w:szCs w:val="27"/>
        </w:rPr>
        <w:t>belatacept</w:t>
      </w:r>
      <w:proofErr w:type="spellEnd"/>
      <w:r w:rsidRPr="00BE0D12">
        <w:rPr>
          <w:rFonts w:ascii="Times New Roman" w:eastAsia="Times New Roman" w:hAnsi="Times New Roman" w:cs="Times New Roman"/>
          <w:color w:val="000000"/>
          <w:sz w:val="27"/>
          <w:szCs w:val="27"/>
        </w:rPr>
        <w:t xml:space="preserve"> was effective, especially when performed early after kidney transplantation. Late conversion to </w:t>
      </w:r>
      <w:proofErr w:type="spellStart"/>
      <w:r w:rsidRPr="00BE0D12">
        <w:rPr>
          <w:rFonts w:ascii="Times New Roman" w:eastAsia="Times New Roman" w:hAnsi="Times New Roman" w:cs="Times New Roman"/>
          <w:color w:val="000000"/>
          <w:sz w:val="27"/>
          <w:szCs w:val="27"/>
        </w:rPr>
        <w:t>belatacept</w:t>
      </w:r>
      <w:proofErr w:type="spellEnd"/>
      <w:r w:rsidRPr="00BE0D12">
        <w:rPr>
          <w:rFonts w:ascii="Times New Roman" w:eastAsia="Times New Roman" w:hAnsi="Times New Roman" w:cs="Times New Roman"/>
          <w:color w:val="000000"/>
          <w:sz w:val="27"/>
          <w:szCs w:val="27"/>
        </w:rPr>
        <w:t xml:space="preserve"> was beneficiary for a subgroup of patients with chronic changes.</w:t>
      </w:r>
    </w:p>
    <w:bookmarkEnd w:id="0"/>
    <w:p w:rsidR="00083933" w:rsidRPr="00DB2938" w:rsidRDefault="00083933">
      <w:pPr>
        <w:rPr>
          <w:rFonts w:ascii="Times New Roman" w:hAnsi="Times New Roman" w:cs="Times New Roman"/>
          <w:sz w:val="24"/>
          <w:szCs w:val="24"/>
        </w:rPr>
      </w:pPr>
    </w:p>
    <w:sectPr w:rsidR="00083933" w:rsidRPr="00DB29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B0"/>
    <w:rsid w:val="000442AD"/>
    <w:rsid w:val="00083933"/>
    <w:rsid w:val="000C3A66"/>
    <w:rsid w:val="000E218B"/>
    <w:rsid w:val="000E6FB0"/>
    <w:rsid w:val="001C3F2E"/>
    <w:rsid w:val="00204D43"/>
    <w:rsid w:val="00211457"/>
    <w:rsid w:val="00304FAD"/>
    <w:rsid w:val="003103C3"/>
    <w:rsid w:val="003F0C94"/>
    <w:rsid w:val="00483311"/>
    <w:rsid w:val="0049496C"/>
    <w:rsid w:val="004C04D5"/>
    <w:rsid w:val="005A0863"/>
    <w:rsid w:val="005B4F7C"/>
    <w:rsid w:val="005E5539"/>
    <w:rsid w:val="0060144D"/>
    <w:rsid w:val="0067587C"/>
    <w:rsid w:val="006F7DFC"/>
    <w:rsid w:val="007A5BC9"/>
    <w:rsid w:val="00806368"/>
    <w:rsid w:val="008432DB"/>
    <w:rsid w:val="008E6222"/>
    <w:rsid w:val="008F7DC5"/>
    <w:rsid w:val="00956743"/>
    <w:rsid w:val="00975B83"/>
    <w:rsid w:val="009F767C"/>
    <w:rsid w:val="00A5495F"/>
    <w:rsid w:val="00A8431F"/>
    <w:rsid w:val="00AF0A94"/>
    <w:rsid w:val="00AF6C41"/>
    <w:rsid w:val="00B27FB0"/>
    <w:rsid w:val="00BE0D12"/>
    <w:rsid w:val="00C15100"/>
    <w:rsid w:val="00C72F2E"/>
    <w:rsid w:val="00D15BFF"/>
    <w:rsid w:val="00D26071"/>
    <w:rsid w:val="00D37924"/>
    <w:rsid w:val="00D64AAB"/>
    <w:rsid w:val="00D73360"/>
    <w:rsid w:val="00D95B0C"/>
    <w:rsid w:val="00DA3627"/>
    <w:rsid w:val="00DB2938"/>
    <w:rsid w:val="00DE6609"/>
    <w:rsid w:val="00DF75BA"/>
    <w:rsid w:val="00EA70FF"/>
    <w:rsid w:val="00FD1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567F4"/>
  <w15:chartTrackingRefBased/>
  <w15:docId w15:val="{3536ED34-7152-40DF-A897-6CF635C3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6F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6F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022058">
      <w:bodyDiv w:val="1"/>
      <w:marLeft w:val="0"/>
      <w:marRight w:val="0"/>
      <w:marTop w:val="0"/>
      <w:marBottom w:val="0"/>
      <w:divBdr>
        <w:top w:val="none" w:sz="0" w:space="0" w:color="auto"/>
        <w:left w:val="none" w:sz="0" w:space="0" w:color="auto"/>
        <w:bottom w:val="none" w:sz="0" w:space="0" w:color="auto"/>
        <w:right w:val="none" w:sz="0" w:space="0" w:color="auto"/>
      </w:divBdr>
    </w:div>
    <w:div w:id="1605916898">
      <w:bodyDiv w:val="1"/>
      <w:marLeft w:val="0"/>
      <w:marRight w:val="0"/>
      <w:marTop w:val="0"/>
      <w:marBottom w:val="0"/>
      <w:divBdr>
        <w:top w:val="none" w:sz="0" w:space="0" w:color="auto"/>
        <w:left w:val="none" w:sz="0" w:space="0" w:color="auto"/>
        <w:bottom w:val="none" w:sz="0" w:space="0" w:color="auto"/>
        <w:right w:val="none" w:sz="0" w:space="0" w:color="auto"/>
      </w:divBdr>
    </w:div>
    <w:div w:id="176457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2249</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 F. Saidi</dc:creator>
  <cp:keywords/>
  <dc:description/>
  <cp:lastModifiedBy>Reza F. Saidi</cp:lastModifiedBy>
  <cp:revision>25</cp:revision>
  <cp:lastPrinted>2020-12-03T16:18:00Z</cp:lastPrinted>
  <dcterms:created xsi:type="dcterms:W3CDTF">2020-12-01T15:23:00Z</dcterms:created>
  <dcterms:modified xsi:type="dcterms:W3CDTF">2020-12-04T17:40:00Z</dcterms:modified>
</cp:coreProperties>
</file>