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50C" w:rsidRPr="00B0450C" w:rsidRDefault="00B0450C" w:rsidP="00B0450C">
      <w:pPr>
        <w:rPr>
          <w:rFonts w:asciiTheme="majorBidi" w:hAnsiTheme="majorBidi" w:cstheme="majorBidi"/>
          <w:sz w:val="32"/>
          <w:szCs w:val="32"/>
        </w:rPr>
      </w:pPr>
      <w:r w:rsidRPr="00B0450C">
        <w:rPr>
          <w:rFonts w:asciiTheme="majorBidi" w:hAnsiTheme="majorBidi" w:cstheme="majorBidi"/>
          <w:sz w:val="32"/>
          <w:szCs w:val="32"/>
        </w:rPr>
        <w:t xml:space="preserve">Comparing the effects of SP6 </w:t>
      </w:r>
      <w:proofErr w:type="spellStart"/>
      <w:r w:rsidRPr="00B0450C">
        <w:rPr>
          <w:rFonts w:asciiTheme="majorBidi" w:hAnsiTheme="majorBidi" w:cstheme="majorBidi"/>
          <w:sz w:val="32"/>
          <w:szCs w:val="32"/>
        </w:rPr>
        <w:t>moxibustion</w:t>
      </w:r>
      <w:proofErr w:type="spellEnd"/>
      <w:r w:rsidRPr="00B0450C">
        <w:rPr>
          <w:rFonts w:asciiTheme="majorBidi" w:hAnsiTheme="majorBidi" w:cstheme="majorBidi"/>
          <w:sz w:val="32"/>
          <w:szCs w:val="32"/>
        </w:rPr>
        <w:t xml:space="preserve"> and acupressure on the severity of primary dysmenorrhea</w:t>
      </w:r>
    </w:p>
    <w:p w:rsidR="00B0450C" w:rsidRPr="00B0450C" w:rsidRDefault="00B0450C" w:rsidP="00B0450C">
      <w:pPr>
        <w:rPr>
          <w:rFonts w:asciiTheme="majorBidi" w:hAnsiTheme="majorBidi" w:cstheme="majorBidi"/>
          <w:b/>
          <w:bCs/>
          <w:i/>
          <w:iCs/>
          <w:vertAlign w:val="superscript"/>
        </w:rPr>
      </w:pPr>
      <w:proofErr w:type="spellStart"/>
      <w:r w:rsidRPr="00B0450C">
        <w:rPr>
          <w:rFonts w:asciiTheme="majorBidi" w:hAnsiTheme="majorBidi" w:cstheme="majorBidi"/>
          <w:b/>
          <w:bCs/>
          <w:i/>
          <w:iCs/>
        </w:rPr>
        <w:t>Sedigheh</w:t>
      </w:r>
      <w:proofErr w:type="spellEnd"/>
      <w:r w:rsidRPr="00B0450C">
        <w:rPr>
          <w:rFonts w:asciiTheme="majorBidi" w:hAnsiTheme="majorBidi" w:cstheme="majorBidi"/>
          <w:b/>
          <w:bCs/>
          <w:i/>
          <w:iCs/>
        </w:rPr>
        <w:t xml:space="preserve"> Amir Ali Akbari</w:t>
      </w:r>
      <w:r w:rsidRPr="00B0450C">
        <w:rPr>
          <w:rFonts w:asciiTheme="majorBidi" w:hAnsiTheme="majorBidi" w:cstheme="majorBidi"/>
          <w:b/>
          <w:bCs/>
          <w:i/>
          <w:iCs/>
          <w:vertAlign w:val="superscript"/>
        </w:rPr>
        <w:t>1</w:t>
      </w:r>
      <w:r w:rsidRPr="00B0450C">
        <w:rPr>
          <w:rFonts w:asciiTheme="majorBidi" w:hAnsiTheme="majorBidi" w:cstheme="majorBidi"/>
          <w:b/>
          <w:bCs/>
          <w:i/>
          <w:iCs/>
        </w:rPr>
        <w:t>*</w:t>
      </w:r>
      <w:r w:rsidRPr="00B0450C">
        <w:rPr>
          <w:rFonts w:asciiTheme="majorBidi" w:hAnsiTheme="majorBidi" w:cstheme="majorBidi"/>
          <w:b/>
          <w:bCs/>
          <w:i/>
          <w:iCs/>
        </w:rPr>
        <w:t xml:space="preserve">, </w:t>
      </w:r>
      <w:proofErr w:type="spellStart"/>
      <w:r w:rsidRPr="00B0450C">
        <w:rPr>
          <w:rFonts w:asciiTheme="majorBidi" w:hAnsiTheme="majorBidi" w:cstheme="majorBidi"/>
          <w:b/>
          <w:bCs/>
          <w:i/>
          <w:iCs/>
        </w:rPr>
        <w:t>Azam</w:t>
      </w:r>
      <w:proofErr w:type="spellEnd"/>
      <w:r w:rsidRPr="00B0450C">
        <w:rPr>
          <w:rFonts w:asciiTheme="majorBidi" w:hAnsiTheme="majorBidi" w:cstheme="majorBidi"/>
          <w:b/>
          <w:bCs/>
          <w:i/>
          <w:iCs/>
        </w:rPr>
        <w:t xml:space="preserve"> yaghobinejad</w:t>
      </w:r>
      <w:r w:rsidRPr="00B0450C">
        <w:rPr>
          <w:rFonts w:asciiTheme="majorBidi" w:hAnsiTheme="majorBidi" w:cstheme="majorBidi"/>
          <w:b/>
          <w:bCs/>
          <w:i/>
          <w:iCs/>
          <w:vertAlign w:val="superscript"/>
        </w:rPr>
        <w:t>2</w:t>
      </w:r>
    </w:p>
    <w:p w:rsidR="00B0450C" w:rsidRDefault="00B0450C" w:rsidP="00B0450C"/>
    <w:p w:rsidR="00B0450C" w:rsidRPr="00B0450C" w:rsidRDefault="00B0450C" w:rsidP="00B0450C">
      <w:pPr>
        <w:rPr>
          <w:rFonts w:asciiTheme="majorBidi" w:hAnsiTheme="majorBidi" w:cstheme="majorBidi"/>
          <w:i/>
          <w:iCs/>
        </w:rPr>
      </w:pPr>
      <w:r w:rsidRPr="00B0450C">
        <w:rPr>
          <w:rFonts w:asciiTheme="majorBidi" w:hAnsiTheme="majorBidi" w:cstheme="majorBidi"/>
          <w:i/>
          <w:iCs/>
        </w:rPr>
        <w:t xml:space="preserve">1. PhD, </w:t>
      </w:r>
      <w:r w:rsidRPr="00B0450C">
        <w:rPr>
          <w:rFonts w:asciiTheme="majorBidi" w:hAnsiTheme="majorBidi" w:cstheme="majorBidi"/>
          <w:i/>
          <w:iCs/>
        </w:rPr>
        <w:t xml:space="preserve">Midwifery and Reproductive Health Research Center, Department of Midwifery and Reproductive Health, School of Nursing and Midwifery, </w:t>
      </w:r>
      <w:proofErr w:type="spellStart"/>
      <w:r w:rsidRPr="00B0450C">
        <w:rPr>
          <w:rFonts w:asciiTheme="majorBidi" w:hAnsiTheme="majorBidi" w:cstheme="majorBidi"/>
          <w:i/>
          <w:iCs/>
        </w:rPr>
        <w:t>Shahid</w:t>
      </w:r>
      <w:proofErr w:type="spellEnd"/>
      <w:r w:rsidRPr="00B0450C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B0450C">
        <w:rPr>
          <w:rFonts w:asciiTheme="majorBidi" w:hAnsiTheme="majorBidi" w:cstheme="majorBidi"/>
          <w:i/>
          <w:iCs/>
        </w:rPr>
        <w:t>Beheshti</w:t>
      </w:r>
      <w:proofErr w:type="spellEnd"/>
      <w:r w:rsidRPr="00B0450C">
        <w:rPr>
          <w:rFonts w:asciiTheme="majorBidi" w:hAnsiTheme="majorBidi" w:cstheme="majorBidi"/>
          <w:i/>
          <w:iCs/>
        </w:rPr>
        <w:t xml:space="preserve"> University of Medical Sciences, Tehran, Iran</w:t>
      </w:r>
    </w:p>
    <w:p w:rsidR="00B0450C" w:rsidRPr="00B0450C" w:rsidRDefault="00B0450C" w:rsidP="00B0450C">
      <w:pPr>
        <w:rPr>
          <w:rFonts w:asciiTheme="majorBidi" w:hAnsiTheme="majorBidi" w:cstheme="majorBidi"/>
          <w:i/>
          <w:iCs/>
        </w:rPr>
      </w:pPr>
      <w:proofErr w:type="gramStart"/>
      <w:r w:rsidRPr="00B0450C">
        <w:rPr>
          <w:rFonts w:asciiTheme="majorBidi" w:hAnsiTheme="majorBidi" w:cstheme="majorBidi"/>
          <w:i/>
          <w:iCs/>
        </w:rPr>
        <w:t xml:space="preserve">2. MSc, Department of Midwifery, School of Nursing and Midwifery, International Branch, </w:t>
      </w:r>
      <w:proofErr w:type="spellStart"/>
      <w:r w:rsidRPr="00B0450C">
        <w:rPr>
          <w:rFonts w:asciiTheme="majorBidi" w:hAnsiTheme="majorBidi" w:cstheme="majorBidi"/>
          <w:i/>
          <w:iCs/>
        </w:rPr>
        <w:t>Shahid</w:t>
      </w:r>
      <w:proofErr w:type="spellEnd"/>
      <w:r w:rsidRPr="00B0450C">
        <w:rPr>
          <w:rFonts w:asciiTheme="majorBidi" w:hAnsiTheme="majorBidi" w:cstheme="majorBidi"/>
          <w:i/>
          <w:iCs/>
        </w:rPr>
        <w:t xml:space="preserve"> </w:t>
      </w:r>
      <w:proofErr w:type="spellStart"/>
      <w:r w:rsidRPr="00B0450C">
        <w:rPr>
          <w:rFonts w:asciiTheme="majorBidi" w:hAnsiTheme="majorBidi" w:cstheme="majorBidi"/>
          <w:i/>
          <w:iCs/>
        </w:rPr>
        <w:t>Beheshti</w:t>
      </w:r>
      <w:proofErr w:type="spellEnd"/>
      <w:r w:rsidRPr="00B0450C">
        <w:rPr>
          <w:rFonts w:asciiTheme="majorBidi" w:hAnsiTheme="majorBidi" w:cstheme="majorBidi"/>
          <w:i/>
          <w:iCs/>
        </w:rPr>
        <w:t xml:space="preserve"> University of Medical Sciences, Tehran, Iran.</w:t>
      </w:r>
      <w:proofErr w:type="gramEnd"/>
    </w:p>
    <w:p w:rsidR="00B0450C" w:rsidRDefault="00B0450C" w:rsidP="00B0450C">
      <w:bookmarkStart w:id="0" w:name="_GoBack"/>
      <w:bookmarkEnd w:id="0"/>
    </w:p>
    <w:p w:rsidR="00B0450C" w:rsidRPr="00B0450C" w:rsidRDefault="00B0450C" w:rsidP="00B0450C">
      <w:pPr>
        <w:rPr>
          <w:b/>
          <w:bCs/>
        </w:rPr>
      </w:pPr>
      <w:r w:rsidRPr="00B0450C">
        <w:rPr>
          <w:b/>
          <w:bCs/>
        </w:rPr>
        <w:t xml:space="preserve"> Abstract</w:t>
      </w:r>
    </w:p>
    <w:p w:rsidR="00B0450C" w:rsidRDefault="00B0450C" w:rsidP="00B0450C">
      <w:r>
        <w:t xml:space="preserve">Objective: Dysmenorrhea is the most common cyclic pain that has negative effects on the quality of life. Although many alternative therapists support the use of acupressure for dysmenorrhea, there is </w:t>
      </w:r>
      <w:proofErr w:type="gramStart"/>
      <w:r>
        <w:t>currently</w:t>
      </w:r>
      <w:proofErr w:type="gramEnd"/>
      <w:r>
        <w:t xml:space="preserve"> insufficient clinical evidence to support </w:t>
      </w:r>
      <w:proofErr w:type="spellStart"/>
      <w:r>
        <w:t>moxibustion</w:t>
      </w:r>
      <w:proofErr w:type="spellEnd"/>
      <w:r>
        <w:t xml:space="preserve"> use in this condition .The present study was conducted to compare the effects of SP6 </w:t>
      </w:r>
      <w:proofErr w:type="spellStart"/>
      <w:r>
        <w:t>moxibustion</w:t>
      </w:r>
      <w:proofErr w:type="spellEnd"/>
      <w:r>
        <w:t xml:space="preserve"> and acupressure on the severity of primary dysmenorrhea.</w:t>
      </w:r>
    </w:p>
    <w:p w:rsidR="00B0450C" w:rsidRDefault="00B0450C" w:rsidP="00B0450C">
      <w:r w:rsidRPr="00B0450C">
        <w:rPr>
          <w:b/>
          <w:bCs/>
        </w:rPr>
        <w:t>Materials &amp; Methods:</w:t>
      </w:r>
      <w:r>
        <w:t xml:space="preserve"> This experimental study </w:t>
      </w:r>
      <w:proofErr w:type="gramStart"/>
      <w:r>
        <w:t>was conducted</w:t>
      </w:r>
      <w:proofErr w:type="gramEnd"/>
      <w:r>
        <w:t xml:space="preserve"> on 92 students randomly assigned into two groups. The SP6 </w:t>
      </w:r>
      <w:proofErr w:type="spellStart"/>
      <w:r>
        <w:t>moxibustion</w:t>
      </w:r>
      <w:proofErr w:type="spellEnd"/>
      <w:r>
        <w:t xml:space="preserve"> group was asked to hold a burning </w:t>
      </w:r>
      <w:proofErr w:type="spellStart"/>
      <w:r>
        <w:t>moxa</w:t>
      </w:r>
      <w:proofErr w:type="spellEnd"/>
      <w:r>
        <w:t xml:space="preserve"> stick to the SP6 point and  acupressure group was asked to press their thumb perpendicularly on the SP6 point (10 minutes of for each leg). The severity of pain </w:t>
      </w:r>
      <w:proofErr w:type="gramStart"/>
      <w:r>
        <w:t>was assessed</w:t>
      </w:r>
      <w:proofErr w:type="gramEnd"/>
      <w:r>
        <w:t xml:space="preserve"> before the intervention and during two consecutive menstrual cycles and the results obtained was then compared with each other. </w:t>
      </w:r>
    </w:p>
    <w:p w:rsidR="00B0450C" w:rsidRDefault="00B0450C" w:rsidP="00B0450C">
      <w:r w:rsidRPr="00B0450C">
        <w:rPr>
          <w:b/>
          <w:bCs/>
        </w:rPr>
        <w:t>Results:</w:t>
      </w:r>
      <w:r>
        <w:t xml:space="preserve"> The results revealed no significant differences between the two groups in the severity of pain before the intervention and in the first menstrual cycle after the intervention but a statistically significant difference was observed between the groups in terms of the severity of pain in their second menstrual cycle (p=0.001). According to Friedman’s test, in both groups, the mean difference in the severity of pain was significant between the three cycles (p&lt;0.001), </w:t>
      </w:r>
      <w:proofErr w:type="spellStart"/>
      <w:r>
        <w:t>moxibustion</w:t>
      </w:r>
      <w:proofErr w:type="spellEnd"/>
      <w:r>
        <w:t xml:space="preserve"> is more effective than acupressure.</w:t>
      </w:r>
    </w:p>
    <w:p w:rsidR="00B0450C" w:rsidRDefault="00B0450C" w:rsidP="00B0450C">
      <w:r w:rsidRPr="00B0450C">
        <w:rPr>
          <w:b/>
          <w:bCs/>
        </w:rPr>
        <w:t xml:space="preserve">Conclusion: </w:t>
      </w:r>
      <w:r>
        <w:t xml:space="preserve">According to the results, both </w:t>
      </w:r>
      <w:proofErr w:type="spellStart"/>
      <w:r>
        <w:t>moxibustion</w:t>
      </w:r>
      <w:proofErr w:type="spellEnd"/>
      <w:r>
        <w:t xml:space="preserve"> and acupressure appear to be able to reduce the severity of dysmenorrhea; however, </w:t>
      </w:r>
      <w:proofErr w:type="spellStart"/>
      <w:r>
        <w:t>moxibustion</w:t>
      </w:r>
      <w:proofErr w:type="spellEnd"/>
      <w:r>
        <w:t xml:space="preserve"> is more effective than acupressure.</w:t>
      </w:r>
    </w:p>
    <w:p w:rsidR="00AB3951" w:rsidRDefault="00B0450C" w:rsidP="00B0450C">
      <w:proofErr w:type="gramStart"/>
      <w:r w:rsidRPr="00B0450C">
        <w:rPr>
          <w:b/>
          <w:bCs/>
        </w:rPr>
        <w:t>Keywords:</w:t>
      </w:r>
      <w:r>
        <w:t xml:space="preserve"> primary dysmenorrhea, </w:t>
      </w:r>
      <w:proofErr w:type="spellStart"/>
      <w:r>
        <w:t>moxibustion</w:t>
      </w:r>
      <w:proofErr w:type="spellEnd"/>
      <w:r>
        <w:t>, acupressure, SP6 point.</w:t>
      </w:r>
      <w:proofErr w:type="gramEnd"/>
    </w:p>
    <w:sectPr w:rsidR="00AB3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0C"/>
    <w:rsid w:val="009A0117"/>
    <w:rsid w:val="009D665F"/>
    <w:rsid w:val="00B0450C"/>
    <w:rsid w:val="00F3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asaakbari</dc:creator>
  <cp:lastModifiedBy>asaakbari</cp:lastModifiedBy>
  <cp:revision>1</cp:revision>
  <dcterms:created xsi:type="dcterms:W3CDTF">2021-05-18T11:31:00Z</dcterms:created>
  <dcterms:modified xsi:type="dcterms:W3CDTF">2021-05-18T11:34:00Z</dcterms:modified>
</cp:coreProperties>
</file>