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12A" w:rsidRPr="0005164C" w:rsidRDefault="0090112A" w:rsidP="0090112A">
      <w:pPr>
        <w:rPr>
          <w:rFonts w:eastAsia="MS Mincho"/>
          <w:b/>
          <w:sz w:val="22"/>
          <w:szCs w:val="22"/>
          <w:u w:val="single"/>
        </w:rPr>
      </w:pPr>
      <w:r w:rsidRPr="0005164C">
        <w:rPr>
          <w:rFonts w:eastAsia="MS Mincho"/>
          <w:b/>
          <w:sz w:val="22"/>
          <w:szCs w:val="22"/>
          <w:u w:val="single"/>
        </w:rPr>
        <w:t>Abstract Template</w:t>
      </w:r>
    </w:p>
    <w:p w:rsidR="0090112A" w:rsidRDefault="0090112A" w:rsidP="0090112A">
      <w:pPr>
        <w:pStyle w:val="Author"/>
        <w:rPr>
          <w:rFonts w:eastAsia="MS Mincho"/>
          <w:sz w:val="18"/>
          <w:szCs w:val="18"/>
        </w:rPr>
      </w:pPr>
    </w:p>
    <w:p w:rsidR="0090112A" w:rsidRPr="0005164C" w:rsidRDefault="0090112A" w:rsidP="0090112A">
      <w:pPr>
        <w:pStyle w:val="Author"/>
        <w:rPr>
          <w:rFonts w:eastAsia="MS Mincho"/>
          <w:sz w:val="18"/>
          <w:szCs w:val="18"/>
        </w:rPr>
        <w:sectPr w:rsidR="0090112A" w:rsidRPr="0005164C" w:rsidSect="006C4648">
          <w:pgSz w:w="11909" w:h="16834" w:code="9"/>
          <w:pgMar w:top="1080" w:right="734" w:bottom="2434" w:left="734" w:header="720" w:footer="720" w:gutter="0"/>
          <w:cols w:space="720"/>
          <w:docGrid w:linePitch="360"/>
        </w:sectPr>
      </w:pPr>
    </w:p>
    <w:p w:rsidR="0090112A" w:rsidRPr="00555284" w:rsidRDefault="0090112A" w:rsidP="0090112A">
      <w:pPr>
        <w:rPr>
          <w:rFonts w:eastAsia="Calibri"/>
          <w:sz w:val="22"/>
          <w:szCs w:val="22"/>
        </w:rPr>
      </w:pPr>
      <w:r w:rsidRPr="009D49B8">
        <w:rPr>
          <w:rFonts w:eastAsia="MS PGothic"/>
          <w:b/>
          <w:color w:val="000000"/>
          <w:sz w:val="22"/>
          <w:szCs w:val="22"/>
        </w:rPr>
        <w:lastRenderedPageBreak/>
        <w:t xml:space="preserve">Title: </w:t>
      </w:r>
      <w:r>
        <w:rPr>
          <w:rFonts w:eastAsia="Calibri"/>
          <w:b/>
          <w:bCs/>
          <w:sz w:val="23"/>
          <w:szCs w:val="23"/>
        </w:rPr>
        <w:t xml:space="preserve">Induction of Apoptosis in Rat Liver Cells via </w:t>
      </w:r>
      <w:proofErr w:type="spellStart"/>
      <w:r>
        <w:rPr>
          <w:rFonts w:eastAsia="Calibri"/>
          <w:b/>
          <w:bCs/>
          <w:sz w:val="23"/>
          <w:szCs w:val="23"/>
        </w:rPr>
        <w:t>Caspase</w:t>
      </w:r>
      <w:proofErr w:type="spellEnd"/>
      <w:r>
        <w:rPr>
          <w:rFonts w:eastAsia="Calibri"/>
          <w:b/>
          <w:bCs/>
          <w:sz w:val="23"/>
          <w:szCs w:val="23"/>
        </w:rPr>
        <w:t xml:space="preserve"> Activation by Chloroform Fraction of Methanol Extract o</w:t>
      </w:r>
      <w:r w:rsidRPr="00555284">
        <w:rPr>
          <w:rFonts w:eastAsia="Calibri"/>
          <w:b/>
          <w:bCs/>
          <w:sz w:val="23"/>
          <w:szCs w:val="23"/>
        </w:rPr>
        <w:t xml:space="preserve">f </w:t>
      </w:r>
      <w:proofErr w:type="spellStart"/>
      <w:r w:rsidRPr="00555284">
        <w:rPr>
          <w:rFonts w:eastAsia="Calibri"/>
          <w:b/>
          <w:bCs/>
          <w:i/>
          <w:iCs/>
          <w:sz w:val="23"/>
          <w:szCs w:val="23"/>
        </w:rPr>
        <w:t>Drymaria</w:t>
      </w:r>
      <w:proofErr w:type="spellEnd"/>
      <w:r w:rsidRPr="00555284">
        <w:rPr>
          <w:rFonts w:eastAsia="Calibri"/>
          <w:b/>
          <w:bCs/>
          <w:i/>
          <w:iCs/>
          <w:sz w:val="23"/>
          <w:szCs w:val="23"/>
        </w:rPr>
        <w:t xml:space="preserve"> </w:t>
      </w:r>
      <w:proofErr w:type="spellStart"/>
      <w:r w:rsidRPr="00555284">
        <w:rPr>
          <w:rFonts w:eastAsia="Calibri"/>
          <w:b/>
          <w:bCs/>
          <w:i/>
          <w:iCs/>
          <w:sz w:val="23"/>
          <w:szCs w:val="23"/>
        </w:rPr>
        <w:t>Cordata</w:t>
      </w:r>
      <w:proofErr w:type="spellEnd"/>
    </w:p>
    <w:p w:rsidR="0090112A" w:rsidRDefault="0090112A" w:rsidP="0090112A">
      <w:pPr>
        <w:jc w:val="both"/>
        <w:rPr>
          <w:rFonts w:eastAsia="MS PGothic"/>
          <w:b/>
          <w:color w:val="000000"/>
          <w:sz w:val="22"/>
          <w:szCs w:val="22"/>
        </w:rPr>
      </w:pPr>
    </w:p>
    <w:p w:rsidR="0090112A" w:rsidRDefault="0090112A" w:rsidP="0090112A">
      <w:pPr>
        <w:jc w:val="both"/>
        <w:rPr>
          <w:rFonts w:eastAsia="MS PGothic"/>
          <w:b/>
          <w:color w:val="000000"/>
          <w:sz w:val="22"/>
          <w:szCs w:val="22"/>
        </w:rPr>
      </w:pPr>
      <w:r>
        <w:t xml:space="preserve"> </w:t>
      </w:r>
      <w:proofErr w:type="spellStart"/>
      <w:r>
        <w:rPr>
          <w:b/>
          <w:bCs/>
        </w:rPr>
        <w:t>A.O.Olowofolahan</w:t>
      </w:r>
      <w:proofErr w:type="spellEnd"/>
      <w:r>
        <w:rPr>
          <w:b/>
          <w:bCs/>
        </w:rPr>
        <w:t xml:space="preserve"> and </w:t>
      </w:r>
      <w:proofErr w:type="spellStart"/>
      <w:r>
        <w:rPr>
          <w:b/>
          <w:bCs/>
        </w:rPr>
        <w:t>O.O.Olorunsogo</w:t>
      </w:r>
      <w:proofErr w:type="spellEnd"/>
    </w:p>
    <w:p w:rsidR="0090112A" w:rsidRDefault="0090112A" w:rsidP="0090112A">
      <w:pPr>
        <w:jc w:val="both"/>
        <w:rPr>
          <w:rFonts w:eastAsia="MS PGothic"/>
          <w:b/>
          <w:color w:val="000000"/>
          <w:sz w:val="22"/>
          <w:szCs w:val="22"/>
        </w:rPr>
      </w:pPr>
    </w:p>
    <w:p w:rsidR="0090112A" w:rsidRDefault="0090112A" w:rsidP="0090112A">
      <w:pPr>
        <w:pStyle w:val="Default"/>
      </w:pPr>
    </w:p>
    <w:p w:rsidR="0090112A" w:rsidRPr="00351E9B" w:rsidRDefault="0090112A" w:rsidP="0090112A">
      <w:pPr>
        <w:jc w:val="both"/>
        <w:rPr>
          <w:sz w:val="19"/>
          <w:szCs w:val="19"/>
          <w:lang w:val="en-IN" w:eastAsia="en-IN"/>
        </w:rPr>
      </w:pPr>
      <w:r>
        <w:t xml:space="preserve"> </w:t>
      </w:r>
      <w:proofErr w:type="gramStart"/>
      <w:r>
        <w:t>Department of Biochemistry, University of Ibadan, Nigeria.</w:t>
      </w:r>
      <w:bookmarkStart w:id="0" w:name="a1"/>
      <w:bookmarkStart w:id="1" w:name="a2"/>
      <w:bookmarkEnd w:id="0"/>
      <w:bookmarkEnd w:id="1"/>
      <w:proofErr w:type="gramEnd"/>
    </w:p>
    <w:p w:rsidR="0090112A" w:rsidRPr="00351E9B" w:rsidRDefault="0090112A" w:rsidP="0090112A">
      <w:pPr>
        <w:rPr>
          <w:rFonts w:eastAsia="MS Mincho"/>
          <w:sz w:val="19"/>
          <w:szCs w:val="19"/>
        </w:rPr>
      </w:pPr>
    </w:p>
    <w:p w:rsidR="0090112A" w:rsidRPr="0005164C" w:rsidRDefault="0090112A" w:rsidP="0090112A">
      <w:pPr>
        <w:rPr>
          <w:rFonts w:eastAsia="MS Mincho"/>
          <w:sz w:val="19"/>
          <w:szCs w:val="19"/>
        </w:rPr>
      </w:pPr>
    </w:p>
    <w:p w:rsidR="0090112A" w:rsidRPr="0005164C" w:rsidRDefault="0090112A" w:rsidP="0090112A">
      <w:pPr>
        <w:jc w:val="both"/>
        <w:rPr>
          <w:rFonts w:eastAsia="MS Mincho"/>
          <w:sz w:val="19"/>
          <w:szCs w:val="19"/>
        </w:rPr>
        <w:sectPr w:rsidR="0090112A" w:rsidRPr="0005164C" w:rsidSect="006C4648">
          <w:type w:val="continuous"/>
          <w:pgSz w:w="11909" w:h="16834" w:code="9"/>
          <w:pgMar w:top="1080" w:right="734" w:bottom="2434" w:left="734" w:header="720" w:footer="720" w:gutter="0"/>
          <w:cols w:space="720"/>
          <w:docGrid w:linePitch="360"/>
        </w:sectPr>
      </w:pPr>
    </w:p>
    <w:p w:rsidR="0090112A" w:rsidRDefault="0090112A" w:rsidP="0090112A">
      <w:pPr>
        <w:pStyle w:val="Default"/>
      </w:pPr>
      <w:r>
        <w:rPr>
          <w:bCs/>
          <w:i/>
          <w:iCs/>
          <w:sz w:val="19"/>
          <w:szCs w:val="19"/>
          <w:lang w:val="en-IN" w:eastAsia="en-IN"/>
        </w:rPr>
        <w:lastRenderedPageBreak/>
        <w:t xml:space="preserve">Keywords: </w:t>
      </w:r>
    </w:p>
    <w:p w:rsidR="0090112A" w:rsidRPr="0005164C" w:rsidRDefault="0090112A" w:rsidP="0090112A">
      <w:pPr>
        <w:pStyle w:val="keywords"/>
        <w:ind w:firstLine="0"/>
        <w:rPr>
          <w:bCs w:val="0"/>
          <w:i w:val="0"/>
          <w:iCs w:val="0"/>
          <w:noProof w:val="0"/>
          <w:sz w:val="19"/>
          <w:szCs w:val="19"/>
          <w:lang w:val="en-IN" w:eastAsia="en-IN"/>
        </w:rPr>
      </w:pPr>
      <w:r w:rsidRPr="00555284">
        <w:rPr>
          <w:b w:val="0"/>
          <w:i w:val="0"/>
        </w:rPr>
        <w:t xml:space="preserve"> </w:t>
      </w:r>
      <w:r w:rsidRPr="00555284">
        <w:rPr>
          <w:b w:val="0"/>
          <w:iCs w:val="0"/>
          <w:sz w:val="20"/>
          <w:szCs w:val="20"/>
        </w:rPr>
        <w:t>Drymaria cordata</w:t>
      </w:r>
      <w:r w:rsidRPr="00555284">
        <w:rPr>
          <w:b w:val="0"/>
          <w:i w:val="0"/>
          <w:sz w:val="20"/>
          <w:szCs w:val="20"/>
        </w:rPr>
        <w:t>, Mitochondrial Membrane Permeability Transition Pore (MMPT), Apoptosis, caspase</w:t>
      </w:r>
      <w:r>
        <w:rPr>
          <w:sz w:val="20"/>
          <w:szCs w:val="20"/>
        </w:rPr>
        <w:t>.</w:t>
      </w:r>
    </w:p>
    <w:p w:rsidR="0090112A" w:rsidRPr="0005164C" w:rsidRDefault="0090112A" w:rsidP="0090112A">
      <w:pPr>
        <w:pStyle w:val="keywords"/>
        <w:ind w:firstLine="0"/>
        <w:rPr>
          <w:b w:val="0"/>
          <w:bCs w:val="0"/>
          <w:i w:val="0"/>
          <w:iCs w:val="0"/>
          <w:noProof w:val="0"/>
          <w:sz w:val="19"/>
          <w:szCs w:val="19"/>
          <w:lang w:val="en-IN" w:eastAsia="en-IN"/>
        </w:rPr>
      </w:pPr>
    </w:p>
    <w:p w:rsidR="0090112A" w:rsidRPr="0005164C" w:rsidRDefault="0090112A" w:rsidP="0090112A">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rsidR="0090112A" w:rsidRPr="00257E0D" w:rsidRDefault="0090112A" w:rsidP="0090112A">
      <w:pPr>
        <w:spacing w:after="200"/>
        <w:jc w:val="both"/>
        <w:rPr>
          <w:rFonts w:eastAsia="Calibri"/>
          <w:b/>
          <w:bCs/>
          <w:i/>
          <w:iCs/>
          <w:sz w:val="24"/>
          <w:szCs w:val="24"/>
        </w:rPr>
      </w:pPr>
      <w:r w:rsidRPr="00257E0D">
        <w:rPr>
          <w:rFonts w:eastAsia="Calibri"/>
          <w:sz w:val="24"/>
          <w:szCs w:val="24"/>
        </w:rPr>
        <w:t>Modulators of mitochondrial Permeability Transition (</w:t>
      </w:r>
      <w:proofErr w:type="spellStart"/>
      <w:r w:rsidRPr="00257E0D">
        <w:rPr>
          <w:rFonts w:eastAsia="Calibri"/>
          <w:sz w:val="24"/>
          <w:szCs w:val="24"/>
        </w:rPr>
        <w:t>mPT</w:t>
      </w:r>
      <w:proofErr w:type="spellEnd"/>
      <w:r w:rsidRPr="00257E0D">
        <w:rPr>
          <w:rFonts w:eastAsia="Calibri"/>
          <w:sz w:val="24"/>
          <w:szCs w:val="24"/>
        </w:rPr>
        <w:t xml:space="preserve">) pore opening are targets of drug development for conditions arising from </w:t>
      </w:r>
      <w:proofErr w:type="spellStart"/>
      <w:r w:rsidRPr="00257E0D">
        <w:rPr>
          <w:rFonts w:eastAsia="Calibri"/>
          <w:sz w:val="24"/>
          <w:szCs w:val="24"/>
        </w:rPr>
        <w:t>dysregulated</w:t>
      </w:r>
      <w:proofErr w:type="spellEnd"/>
      <w:r w:rsidRPr="00257E0D">
        <w:rPr>
          <w:rFonts w:eastAsia="Calibri"/>
          <w:sz w:val="24"/>
          <w:szCs w:val="24"/>
        </w:rPr>
        <w:t xml:space="preserve"> apoptosis. </w:t>
      </w:r>
      <w:proofErr w:type="spellStart"/>
      <w:r w:rsidRPr="00257E0D">
        <w:rPr>
          <w:rFonts w:eastAsia="Calibri"/>
          <w:i/>
          <w:iCs/>
          <w:sz w:val="24"/>
          <w:szCs w:val="24"/>
        </w:rPr>
        <w:t>Drymaria</w:t>
      </w:r>
      <w:proofErr w:type="spellEnd"/>
      <w:r w:rsidRPr="00257E0D">
        <w:rPr>
          <w:rFonts w:eastAsia="Calibri"/>
          <w:i/>
          <w:iCs/>
          <w:sz w:val="24"/>
          <w:szCs w:val="24"/>
        </w:rPr>
        <w:t xml:space="preserve"> </w:t>
      </w:r>
      <w:proofErr w:type="spellStart"/>
      <w:r w:rsidRPr="00257E0D">
        <w:rPr>
          <w:rFonts w:eastAsia="Calibri"/>
          <w:i/>
          <w:iCs/>
          <w:sz w:val="24"/>
          <w:szCs w:val="24"/>
        </w:rPr>
        <w:t>cordata</w:t>
      </w:r>
      <w:proofErr w:type="spellEnd"/>
      <w:r w:rsidRPr="00257E0D">
        <w:rPr>
          <w:rFonts w:eastAsia="Calibri"/>
          <w:i/>
          <w:iCs/>
          <w:sz w:val="24"/>
          <w:szCs w:val="24"/>
        </w:rPr>
        <w:t xml:space="preserve"> </w:t>
      </w:r>
      <w:r w:rsidRPr="00257E0D">
        <w:rPr>
          <w:rFonts w:eastAsia="Calibri"/>
          <w:sz w:val="24"/>
          <w:szCs w:val="24"/>
        </w:rPr>
        <w:t xml:space="preserve">(DC) is a medicinal plant used locally in the treatment of tumors, but there is paucity of scientific information to justify these folkloric claims. In this study, the effects of chloroform fraction of the methanol extract of </w:t>
      </w:r>
      <w:proofErr w:type="spellStart"/>
      <w:r w:rsidRPr="00257E0D">
        <w:rPr>
          <w:rFonts w:eastAsia="Calibri"/>
          <w:i/>
          <w:iCs/>
          <w:sz w:val="24"/>
          <w:szCs w:val="24"/>
        </w:rPr>
        <w:t>Drymaria</w:t>
      </w:r>
      <w:proofErr w:type="spellEnd"/>
      <w:r w:rsidRPr="00257E0D">
        <w:rPr>
          <w:rFonts w:eastAsia="Calibri"/>
          <w:i/>
          <w:iCs/>
          <w:sz w:val="24"/>
          <w:szCs w:val="24"/>
        </w:rPr>
        <w:t xml:space="preserve"> </w:t>
      </w:r>
      <w:proofErr w:type="spellStart"/>
      <w:r w:rsidRPr="00257E0D">
        <w:rPr>
          <w:rFonts w:eastAsia="Calibri"/>
          <w:i/>
          <w:iCs/>
          <w:sz w:val="24"/>
          <w:szCs w:val="24"/>
        </w:rPr>
        <w:t>cordata</w:t>
      </w:r>
      <w:proofErr w:type="spellEnd"/>
      <w:r w:rsidRPr="00257E0D">
        <w:rPr>
          <w:rFonts w:eastAsia="Calibri"/>
          <w:i/>
          <w:iCs/>
          <w:sz w:val="24"/>
          <w:szCs w:val="24"/>
        </w:rPr>
        <w:t xml:space="preserve"> </w:t>
      </w:r>
      <w:r w:rsidRPr="00257E0D">
        <w:rPr>
          <w:rFonts w:eastAsia="Calibri"/>
          <w:sz w:val="24"/>
          <w:szCs w:val="24"/>
        </w:rPr>
        <w:t xml:space="preserve">(CFDC), was investigated on mitochondrial-mediated apoptosis via induction of pore opening. The methanol extract (MEDC) was partitioned successively to obtain n-hexane (NFDC), chloroform (CFDC), </w:t>
      </w:r>
      <w:proofErr w:type="spellStart"/>
      <w:r w:rsidRPr="00257E0D">
        <w:rPr>
          <w:rFonts w:eastAsia="Calibri"/>
          <w:sz w:val="24"/>
          <w:szCs w:val="24"/>
        </w:rPr>
        <w:t>ethylacetate</w:t>
      </w:r>
      <w:proofErr w:type="spellEnd"/>
      <w:r w:rsidRPr="00257E0D">
        <w:rPr>
          <w:rFonts w:eastAsia="Calibri"/>
          <w:sz w:val="24"/>
          <w:szCs w:val="24"/>
        </w:rPr>
        <w:t xml:space="preserve"> (EFDC) and methanol (MFDC) fractions. The animals were equally divided into four groups. Groups I, II, III and IV were treated orally with distilled water, CFDC(50mg/</w:t>
      </w:r>
      <w:proofErr w:type="spellStart"/>
      <w:r w:rsidRPr="00257E0D">
        <w:rPr>
          <w:rFonts w:eastAsia="Calibri"/>
          <w:sz w:val="24"/>
          <w:szCs w:val="24"/>
        </w:rPr>
        <w:t>kgbdwt</w:t>
      </w:r>
      <w:proofErr w:type="spellEnd"/>
      <w:r w:rsidRPr="00257E0D">
        <w:rPr>
          <w:rFonts w:eastAsia="Calibri"/>
          <w:sz w:val="24"/>
          <w:szCs w:val="24"/>
        </w:rPr>
        <w:t>), CFDC(100mg/</w:t>
      </w:r>
      <w:proofErr w:type="spellStart"/>
      <w:r w:rsidRPr="00257E0D">
        <w:rPr>
          <w:rFonts w:eastAsia="Calibri"/>
          <w:sz w:val="24"/>
          <w:szCs w:val="24"/>
        </w:rPr>
        <w:t>kgbdwt</w:t>
      </w:r>
      <w:proofErr w:type="spellEnd"/>
      <w:r w:rsidRPr="00257E0D">
        <w:rPr>
          <w:rFonts w:eastAsia="Calibri"/>
          <w:sz w:val="24"/>
          <w:szCs w:val="24"/>
        </w:rPr>
        <w:t>) and CFDC(200mg/</w:t>
      </w:r>
      <w:proofErr w:type="spellStart"/>
      <w:r w:rsidRPr="00257E0D">
        <w:rPr>
          <w:rFonts w:eastAsia="Calibri"/>
          <w:sz w:val="24"/>
          <w:szCs w:val="24"/>
        </w:rPr>
        <w:t>kgbdwt</w:t>
      </w:r>
      <w:proofErr w:type="spellEnd"/>
      <w:r w:rsidRPr="00257E0D">
        <w:rPr>
          <w:rFonts w:eastAsia="Calibri"/>
          <w:sz w:val="24"/>
          <w:szCs w:val="24"/>
        </w:rPr>
        <w:t xml:space="preserve">), respectively. Rat liver mitochondria were isolated by differential centrifugation. The effects of CFDC on </w:t>
      </w:r>
      <w:proofErr w:type="spellStart"/>
      <w:r w:rsidRPr="00257E0D">
        <w:rPr>
          <w:rFonts w:eastAsia="Calibri"/>
          <w:sz w:val="24"/>
          <w:szCs w:val="24"/>
        </w:rPr>
        <w:t>mPT</w:t>
      </w:r>
      <w:proofErr w:type="spellEnd"/>
      <w:r w:rsidRPr="00257E0D">
        <w:rPr>
          <w:rFonts w:eastAsia="Calibri"/>
          <w:sz w:val="24"/>
          <w:szCs w:val="24"/>
        </w:rPr>
        <w:t xml:space="preserve"> pore, mitochondrial ATPase activity, mitochondrial membrane lipid peroxidation, </w:t>
      </w:r>
      <w:proofErr w:type="gramStart"/>
      <w:r w:rsidRPr="00257E0D">
        <w:rPr>
          <w:rFonts w:eastAsia="Calibri"/>
          <w:sz w:val="24"/>
          <w:szCs w:val="24"/>
        </w:rPr>
        <w:t>cytochrome</w:t>
      </w:r>
      <w:proofErr w:type="gramEnd"/>
      <w:r w:rsidRPr="00257E0D">
        <w:rPr>
          <w:rFonts w:eastAsia="Calibri"/>
          <w:sz w:val="24"/>
          <w:szCs w:val="24"/>
        </w:rPr>
        <w:t xml:space="preserve"> C release, extent of DNA fragmentation, </w:t>
      </w:r>
      <w:proofErr w:type="spellStart"/>
      <w:r w:rsidRPr="00257E0D">
        <w:rPr>
          <w:rFonts w:eastAsia="Calibri"/>
          <w:sz w:val="24"/>
          <w:szCs w:val="24"/>
        </w:rPr>
        <w:t>Caspases</w:t>
      </w:r>
      <w:proofErr w:type="spellEnd"/>
      <w:r w:rsidRPr="00257E0D">
        <w:rPr>
          <w:rFonts w:eastAsia="Calibri"/>
          <w:sz w:val="24"/>
          <w:szCs w:val="24"/>
        </w:rPr>
        <w:t xml:space="preserve"> 9 and 3 activation and expressions of anti-apoptotic Bcl-2 protein were investigated. Data were </w:t>
      </w:r>
      <w:proofErr w:type="spellStart"/>
      <w:r w:rsidRPr="00257E0D">
        <w:rPr>
          <w:rFonts w:eastAsia="Calibri"/>
          <w:sz w:val="24"/>
          <w:szCs w:val="24"/>
        </w:rPr>
        <w:t>analysed</w:t>
      </w:r>
      <w:proofErr w:type="spellEnd"/>
      <w:r w:rsidRPr="00257E0D">
        <w:rPr>
          <w:rFonts w:eastAsia="Calibri"/>
          <w:sz w:val="24"/>
          <w:szCs w:val="24"/>
        </w:rPr>
        <w:t xml:space="preserve"> using ANOVA at α 0.05. Oral administration of CFDC at 50, 100 and 200mg/</w:t>
      </w:r>
      <w:proofErr w:type="spellStart"/>
      <w:r w:rsidRPr="00257E0D">
        <w:rPr>
          <w:rFonts w:eastAsia="Calibri"/>
          <w:sz w:val="24"/>
          <w:szCs w:val="24"/>
        </w:rPr>
        <w:t>kgbdwt</w:t>
      </w:r>
      <w:proofErr w:type="spellEnd"/>
      <w:r w:rsidRPr="00257E0D">
        <w:rPr>
          <w:rFonts w:eastAsia="Calibri"/>
          <w:sz w:val="24"/>
          <w:szCs w:val="24"/>
        </w:rPr>
        <w:t xml:space="preserve"> caused the induction of </w:t>
      </w:r>
      <w:proofErr w:type="spellStart"/>
      <w:r w:rsidRPr="00257E0D">
        <w:rPr>
          <w:rFonts w:eastAsia="Calibri"/>
          <w:sz w:val="24"/>
          <w:szCs w:val="24"/>
        </w:rPr>
        <w:t>mPT</w:t>
      </w:r>
      <w:proofErr w:type="spellEnd"/>
      <w:r w:rsidRPr="00257E0D">
        <w:rPr>
          <w:rFonts w:eastAsia="Calibri"/>
          <w:sz w:val="24"/>
          <w:szCs w:val="24"/>
        </w:rPr>
        <w:t xml:space="preserve"> pore opening by 25, 38 and 50%, respectively, and hepatic DNA fragmentation by 20%, 37% and 60%, respectively. CFDC showed significant </w:t>
      </w:r>
      <w:r w:rsidRPr="00257E0D">
        <w:rPr>
          <w:rFonts w:eastAsia="Calibri"/>
          <w:sz w:val="24"/>
          <w:szCs w:val="24"/>
        </w:rPr>
        <w:lastRenderedPageBreak/>
        <w:t xml:space="preserve">enhancement of mitochondrial ATPase activity, activation of </w:t>
      </w:r>
      <w:proofErr w:type="spellStart"/>
      <w:r w:rsidRPr="00257E0D">
        <w:rPr>
          <w:rFonts w:eastAsia="Calibri"/>
          <w:sz w:val="24"/>
          <w:szCs w:val="24"/>
        </w:rPr>
        <w:t>caspase</w:t>
      </w:r>
      <w:proofErr w:type="spellEnd"/>
      <w:r w:rsidRPr="00257E0D">
        <w:rPr>
          <w:rFonts w:eastAsia="Calibri"/>
          <w:sz w:val="24"/>
          <w:szCs w:val="24"/>
        </w:rPr>
        <w:t xml:space="preserve"> 9 &amp; 3 and positive </w:t>
      </w:r>
      <w:proofErr w:type="spellStart"/>
      <w:r w:rsidRPr="00257E0D">
        <w:rPr>
          <w:rFonts w:eastAsia="Calibri"/>
          <w:sz w:val="24"/>
          <w:szCs w:val="24"/>
        </w:rPr>
        <w:t>immunohistochemical</w:t>
      </w:r>
      <w:proofErr w:type="spellEnd"/>
      <w:r w:rsidRPr="00257E0D">
        <w:rPr>
          <w:rFonts w:eastAsia="Calibri"/>
          <w:sz w:val="24"/>
          <w:szCs w:val="24"/>
        </w:rPr>
        <w:t xml:space="preserve"> expression of cytochrome c and </w:t>
      </w:r>
      <w:proofErr w:type="spellStart"/>
      <w:r w:rsidRPr="00257E0D">
        <w:rPr>
          <w:rFonts w:eastAsia="Calibri"/>
          <w:sz w:val="24"/>
          <w:szCs w:val="24"/>
        </w:rPr>
        <w:t>downregulation</w:t>
      </w:r>
      <w:proofErr w:type="spellEnd"/>
      <w:r w:rsidRPr="00257E0D">
        <w:rPr>
          <w:rFonts w:eastAsia="Calibri"/>
          <w:sz w:val="24"/>
          <w:szCs w:val="24"/>
        </w:rPr>
        <w:t xml:space="preserve"> of anti-apoptotic Bcl-2 </w:t>
      </w:r>
      <w:proofErr w:type="spellStart"/>
      <w:r w:rsidRPr="00257E0D">
        <w:rPr>
          <w:rFonts w:eastAsia="Calibri"/>
          <w:sz w:val="24"/>
          <w:szCs w:val="24"/>
        </w:rPr>
        <w:t>expression.These</w:t>
      </w:r>
      <w:proofErr w:type="spellEnd"/>
      <w:r w:rsidRPr="00257E0D">
        <w:rPr>
          <w:rFonts w:eastAsia="Calibri"/>
          <w:sz w:val="24"/>
          <w:szCs w:val="24"/>
        </w:rPr>
        <w:t xml:space="preserve"> results suggest that CFDC contains bioactive agent that can induce mitochondrial-dependent cell death which might be relevant in situations where apoptosis needs to be </w:t>
      </w:r>
      <w:proofErr w:type="spellStart"/>
      <w:r w:rsidRPr="00257E0D">
        <w:rPr>
          <w:rFonts w:eastAsia="Calibri"/>
          <w:sz w:val="24"/>
          <w:szCs w:val="24"/>
        </w:rPr>
        <w:t>upregulated</w:t>
      </w:r>
      <w:proofErr w:type="spellEnd"/>
      <w:r w:rsidRPr="00257E0D">
        <w:rPr>
          <w:rFonts w:eastAsia="Calibri"/>
          <w:sz w:val="24"/>
          <w:szCs w:val="24"/>
        </w:rPr>
        <w:t>.</w:t>
      </w:r>
    </w:p>
    <w:p w:rsidR="0090112A" w:rsidRPr="0005164C" w:rsidRDefault="0090112A" w:rsidP="0090112A">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90112A" w:rsidRPr="0005164C" w:rsidRDefault="0090112A" w:rsidP="0090112A">
      <w:pPr>
        <w:rPr>
          <w:sz w:val="19"/>
          <w:szCs w:val="19"/>
        </w:rPr>
      </w:pPr>
    </w:p>
    <w:p w:rsidR="0090112A" w:rsidRPr="0005164C" w:rsidRDefault="0090112A" w:rsidP="0090112A">
      <w:pPr>
        <w:pStyle w:val="BodyText"/>
        <w:ind w:firstLine="0"/>
        <w:rPr>
          <w:sz w:val="19"/>
          <w:szCs w:val="19"/>
        </w:rPr>
      </w:pPr>
      <w:r>
        <w:rPr>
          <w:noProof/>
        </w:rPr>
        <w:drawing>
          <wp:inline distT="0" distB="0" distL="0" distR="0">
            <wp:extent cx="2333625" cy="2428875"/>
            <wp:effectExtent l="0" t="0" r="9525" b="9525"/>
            <wp:docPr id="2" name="Picture 2" descr="Description: http://luirig.altervista.org/cpm/albums/bot-hawaii13/05570-Drymaria-cordata-var--pacif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luirig.altervista.org/cpm/albums/bot-hawaii13/05570-Drymaria-cordata-var--pacifica.jpg"/>
                    <pic:cNvPicPr>
                      <a:picLocks noChangeAspect="1" noChangeArrowheads="1"/>
                    </pic:cNvPicPr>
                  </pic:nvPicPr>
                  <pic:blipFill>
                    <a:blip r:embed="rId6">
                      <a:extLst>
                        <a:ext uri="{28A0092B-C50C-407E-A947-70E740481C1C}">
                          <a14:useLocalDpi xmlns:a14="http://schemas.microsoft.com/office/drawing/2010/main" val="0"/>
                        </a:ext>
                      </a:extLst>
                    </a:blip>
                    <a:srcRect l="8069"/>
                    <a:stretch>
                      <a:fillRect/>
                    </a:stretch>
                  </pic:blipFill>
                  <pic:spPr bwMode="auto">
                    <a:xfrm>
                      <a:off x="0" y="0"/>
                      <a:ext cx="2333625" cy="2428875"/>
                    </a:xfrm>
                    <a:prstGeom prst="rect">
                      <a:avLst/>
                    </a:prstGeom>
                    <a:noFill/>
                    <a:ln>
                      <a:noFill/>
                    </a:ln>
                  </pic:spPr>
                </pic:pic>
              </a:graphicData>
            </a:graphic>
          </wp:inline>
        </w:drawing>
      </w:r>
    </w:p>
    <w:p w:rsidR="0090112A" w:rsidRPr="0005164C" w:rsidRDefault="0090112A" w:rsidP="0090112A">
      <w:pPr>
        <w:pStyle w:val="BodyText"/>
        <w:jc w:val="left"/>
        <w:rPr>
          <w:sz w:val="19"/>
          <w:szCs w:val="19"/>
        </w:rPr>
      </w:pPr>
    </w:p>
    <w:p w:rsidR="0090112A" w:rsidRPr="001D43DB" w:rsidRDefault="0090112A" w:rsidP="0090112A">
      <w:pPr>
        <w:pStyle w:val="BodyText"/>
        <w:numPr>
          <w:ilvl w:val="0"/>
          <w:numId w:val="2"/>
        </w:numPr>
        <w:jc w:val="left"/>
        <w:rPr>
          <w:b/>
          <w:sz w:val="19"/>
          <w:szCs w:val="19"/>
        </w:rPr>
      </w:pPr>
      <w:r w:rsidRPr="0005164C">
        <w:rPr>
          <w:b/>
          <w:sz w:val="19"/>
          <w:szCs w:val="19"/>
        </w:rPr>
        <w:t>Reference:</w:t>
      </w:r>
    </w:p>
    <w:p w:rsidR="0090112A" w:rsidRDefault="0090112A" w:rsidP="0090112A">
      <w:pPr>
        <w:numPr>
          <w:ilvl w:val="0"/>
          <w:numId w:val="3"/>
        </w:numPr>
        <w:shd w:val="clear" w:color="auto" w:fill="FFFFFF"/>
        <w:spacing w:before="100" w:beforeAutospacing="1" w:after="120"/>
        <w:jc w:val="left"/>
        <w:rPr>
          <w:sz w:val="19"/>
          <w:szCs w:val="19"/>
          <w:lang w:val="en-IN" w:eastAsia="en-IN"/>
        </w:rPr>
      </w:pPr>
      <w:bookmarkStart w:id="2" w:name="2"/>
      <w:bookmarkEnd w:id="2"/>
      <w:r w:rsidRPr="009D49B8">
        <w:rPr>
          <w:sz w:val="19"/>
          <w:szCs w:val="19"/>
          <w:lang w:val="en-IN" w:eastAsia="en-IN"/>
        </w:rPr>
        <w:t xml:space="preserve"> </w:t>
      </w:r>
      <w:proofErr w:type="spellStart"/>
      <w:r w:rsidRPr="001D43DB">
        <w:rPr>
          <w:sz w:val="19"/>
          <w:szCs w:val="19"/>
          <w:lang w:val="en-IN" w:eastAsia="en-IN"/>
        </w:rPr>
        <w:t>OlowofolahanA.O</w:t>
      </w:r>
      <w:proofErr w:type="spellEnd"/>
      <w:r w:rsidRPr="001D43DB">
        <w:rPr>
          <w:sz w:val="19"/>
          <w:szCs w:val="19"/>
          <w:lang w:val="en-IN" w:eastAsia="en-IN"/>
        </w:rPr>
        <w:t xml:space="preserve">, </w:t>
      </w:r>
      <w:proofErr w:type="spellStart"/>
      <w:r w:rsidRPr="001D43DB">
        <w:rPr>
          <w:sz w:val="19"/>
          <w:szCs w:val="19"/>
          <w:lang w:val="en-IN" w:eastAsia="en-IN"/>
        </w:rPr>
        <w:t>Adeoye</w:t>
      </w:r>
      <w:proofErr w:type="spellEnd"/>
      <w:r w:rsidRPr="001D43DB">
        <w:rPr>
          <w:sz w:val="19"/>
          <w:szCs w:val="19"/>
          <w:lang w:val="en-IN" w:eastAsia="en-IN"/>
        </w:rPr>
        <w:t xml:space="preserve"> O.A, </w:t>
      </w:r>
      <w:proofErr w:type="spellStart"/>
      <w:r w:rsidRPr="001D43DB">
        <w:rPr>
          <w:sz w:val="19"/>
          <w:szCs w:val="19"/>
          <w:lang w:val="en-IN" w:eastAsia="en-IN"/>
        </w:rPr>
        <w:t>Offor</w:t>
      </w:r>
      <w:proofErr w:type="spellEnd"/>
      <w:r w:rsidRPr="001D43DB">
        <w:rPr>
          <w:sz w:val="19"/>
          <w:szCs w:val="19"/>
          <w:lang w:val="en-IN" w:eastAsia="en-IN"/>
        </w:rPr>
        <w:t xml:space="preserve"> G.N, </w:t>
      </w:r>
      <w:proofErr w:type="spellStart"/>
      <w:r w:rsidRPr="001D43DB">
        <w:rPr>
          <w:sz w:val="19"/>
          <w:szCs w:val="19"/>
          <w:lang w:val="en-IN" w:eastAsia="en-IN"/>
        </w:rPr>
        <w:t>Adebisi</w:t>
      </w:r>
      <w:proofErr w:type="spellEnd"/>
      <w:r w:rsidRPr="001D43DB">
        <w:rPr>
          <w:sz w:val="19"/>
          <w:szCs w:val="19"/>
          <w:lang w:val="en-IN" w:eastAsia="en-IN"/>
        </w:rPr>
        <w:t xml:space="preserve"> L.A and </w:t>
      </w:r>
      <w:proofErr w:type="spellStart"/>
      <w:r w:rsidRPr="001D43DB">
        <w:rPr>
          <w:sz w:val="19"/>
          <w:szCs w:val="19"/>
          <w:lang w:val="en-IN" w:eastAsia="en-IN"/>
        </w:rPr>
        <w:t>Olorunsogo</w:t>
      </w:r>
      <w:proofErr w:type="spellEnd"/>
      <w:r w:rsidRPr="001D43DB">
        <w:rPr>
          <w:sz w:val="19"/>
          <w:szCs w:val="19"/>
          <w:lang w:val="en-IN" w:eastAsia="en-IN"/>
        </w:rPr>
        <w:t xml:space="preserve"> O.O. Induction of Mitochondrial Membrane Permeability Transition Pore Opening and Cytochrome C Release by Fractions of </w:t>
      </w:r>
      <w:proofErr w:type="spellStart"/>
      <w:r w:rsidRPr="001D43DB">
        <w:rPr>
          <w:sz w:val="19"/>
          <w:szCs w:val="19"/>
          <w:lang w:val="en-IN" w:eastAsia="en-IN"/>
        </w:rPr>
        <w:t>Drymaria</w:t>
      </w:r>
      <w:proofErr w:type="spellEnd"/>
      <w:r w:rsidRPr="001D43DB">
        <w:rPr>
          <w:sz w:val="19"/>
          <w:szCs w:val="19"/>
          <w:lang w:val="en-IN" w:eastAsia="en-IN"/>
        </w:rPr>
        <w:t xml:space="preserve"> </w:t>
      </w:r>
      <w:proofErr w:type="spellStart"/>
      <w:r w:rsidRPr="001D43DB">
        <w:rPr>
          <w:sz w:val="19"/>
          <w:szCs w:val="19"/>
          <w:lang w:val="en-IN" w:eastAsia="en-IN"/>
        </w:rPr>
        <w:t>cordata</w:t>
      </w:r>
      <w:proofErr w:type="spellEnd"/>
      <w:r w:rsidRPr="001D43DB">
        <w:rPr>
          <w:sz w:val="19"/>
          <w:szCs w:val="19"/>
          <w:lang w:val="en-IN" w:eastAsia="en-IN"/>
        </w:rPr>
        <w:t>. Arch. Bas. App. Med., 2015; 3(2015); 135–144.</w:t>
      </w:r>
    </w:p>
    <w:p w:rsidR="0090112A" w:rsidRDefault="0090112A" w:rsidP="0090112A">
      <w:pPr>
        <w:numPr>
          <w:ilvl w:val="0"/>
          <w:numId w:val="1"/>
        </w:numPr>
        <w:shd w:val="clear" w:color="auto" w:fill="FFFFFF"/>
        <w:spacing w:before="100" w:beforeAutospacing="1" w:after="120"/>
        <w:jc w:val="left"/>
        <w:rPr>
          <w:sz w:val="19"/>
          <w:szCs w:val="19"/>
          <w:lang w:val="en-IN" w:eastAsia="en-IN"/>
        </w:rPr>
      </w:pPr>
      <w:r w:rsidRPr="001D43DB">
        <w:rPr>
          <w:sz w:val="19"/>
          <w:szCs w:val="19"/>
          <w:lang w:val="en-IN" w:eastAsia="en-IN"/>
        </w:rPr>
        <w:t xml:space="preserve">S.W, Green DR. Mitochondria and cell death: Outer membrane </w:t>
      </w:r>
      <w:proofErr w:type="spellStart"/>
      <w:r w:rsidRPr="001D43DB">
        <w:rPr>
          <w:sz w:val="19"/>
          <w:szCs w:val="19"/>
          <w:lang w:val="en-IN" w:eastAsia="en-IN"/>
        </w:rPr>
        <w:t>permeabilization</w:t>
      </w:r>
      <w:proofErr w:type="spellEnd"/>
      <w:r w:rsidRPr="001D43DB">
        <w:rPr>
          <w:sz w:val="19"/>
          <w:szCs w:val="19"/>
          <w:lang w:val="en-IN" w:eastAsia="en-IN"/>
        </w:rPr>
        <w:t xml:space="preserve"> and beyond. Nat Rev </w:t>
      </w:r>
      <w:proofErr w:type="spellStart"/>
      <w:r w:rsidRPr="001D43DB">
        <w:rPr>
          <w:sz w:val="19"/>
          <w:szCs w:val="19"/>
          <w:lang w:val="en-IN" w:eastAsia="en-IN"/>
        </w:rPr>
        <w:t>Mol</w:t>
      </w:r>
      <w:proofErr w:type="spellEnd"/>
      <w:r w:rsidRPr="001D43DB">
        <w:rPr>
          <w:sz w:val="19"/>
          <w:szCs w:val="19"/>
          <w:lang w:val="en-IN" w:eastAsia="en-IN"/>
        </w:rPr>
        <w:t xml:space="preserve"> Cell Biol., 2010; 11: 621–32.</w:t>
      </w:r>
    </w:p>
    <w:p w:rsidR="0090112A" w:rsidRDefault="0090112A" w:rsidP="0090112A">
      <w:pPr>
        <w:numPr>
          <w:ilvl w:val="0"/>
          <w:numId w:val="1"/>
        </w:numPr>
        <w:shd w:val="clear" w:color="auto" w:fill="FFFFFF"/>
        <w:spacing w:before="100" w:beforeAutospacing="1" w:after="120"/>
        <w:jc w:val="left"/>
        <w:rPr>
          <w:sz w:val="19"/>
          <w:szCs w:val="19"/>
          <w:lang w:val="en-IN" w:eastAsia="en-IN"/>
        </w:rPr>
      </w:pPr>
      <w:r w:rsidRPr="001D43DB">
        <w:rPr>
          <w:sz w:val="19"/>
          <w:szCs w:val="19"/>
          <w:lang w:val="en-IN" w:eastAsia="en-IN"/>
        </w:rPr>
        <w:lastRenderedPageBreak/>
        <w:t xml:space="preserve">Dong, H. S., </w:t>
      </w:r>
      <w:proofErr w:type="spellStart"/>
      <w:r w:rsidRPr="001D43DB">
        <w:rPr>
          <w:sz w:val="19"/>
          <w:szCs w:val="19"/>
          <w:lang w:val="en-IN" w:eastAsia="en-IN"/>
        </w:rPr>
        <w:t>Mi</w:t>
      </w:r>
      <w:proofErr w:type="spellEnd"/>
      <w:r w:rsidRPr="001D43DB">
        <w:rPr>
          <w:sz w:val="19"/>
          <w:szCs w:val="19"/>
          <w:lang w:val="en-IN" w:eastAsia="en-IN"/>
        </w:rPr>
        <w:t xml:space="preserve">-Kyung, K., </w:t>
      </w:r>
      <w:proofErr w:type="spellStart"/>
      <w:r w:rsidRPr="001D43DB">
        <w:rPr>
          <w:sz w:val="19"/>
          <w:szCs w:val="19"/>
          <w:lang w:val="en-IN" w:eastAsia="en-IN"/>
        </w:rPr>
        <w:t>Hee</w:t>
      </w:r>
      <w:proofErr w:type="spellEnd"/>
      <w:r w:rsidRPr="001D43DB">
        <w:rPr>
          <w:sz w:val="19"/>
          <w:szCs w:val="19"/>
          <w:lang w:val="en-IN" w:eastAsia="en-IN"/>
        </w:rPr>
        <w:t>, S. K., Hyun, H. C. and Yong, S. S. Mitochondrial Permeability transition pore as a selective target for anti-cancer therapy. Rev on Frontiers in oncology, 2013; 3(41): 1-11.</w:t>
      </w:r>
    </w:p>
    <w:p w:rsidR="0090112A" w:rsidRPr="001E41F5" w:rsidRDefault="0090112A" w:rsidP="0090112A">
      <w:pPr>
        <w:numPr>
          <w:ilvl w:val="0"/>
          <w:numId w:val="1"/>
        </w:numPr>
        <w:shd w:val="clear" w:color="auto" w:fill="FFFFFF"/>
        <w:spacing w:before="100" w:beforeAutospacing="1" w:after="120"/>
        <w:jc w:val="left"/>
        <w:rPr>
          <w:sz w:val="19"/>
          <w:szCs w:val="19"/>
          <w:lang w:val="en-IN" w:eastAsia="en-IN"/>
        </w:rPr>
      </w:pPr>
      <w:proofErr w:type="spellStart"/>
      <w:r w:rsidRPr="00226895">
        <w:rPr>
          <w:sz w:val="19"/>
          <w:szCs w:val="19"/>
          <w:lang w:val="en-IN" w:eastAsia="en-IN"/>
        </w:rPr>
        <w:t>A.O.Olowofolahan</w:t>
      </w:r>
      <w:proofErr w:type="spellEnd"/>
      <w:r w:rsidRPr="00226895">
        <w:rPr>
          <w:sz w:val="19"/>
          <w:szCs w:val="19"/>
          <w:lang w:val="en-IN" w:eastAsia="en-IN"/>
        </w:rPr>
        <w:t xml:space="preserve"> and </w:t>
      </w:r>
      <w:proofErr w:type="spellStart"/>
      <w:r w:rsidRPr="00226895">
        <w:rPr>
          <w:sz w:val="19"/>
          <w:szCs w:val="19"/>
          <w:lang w:val="en-IN" w:eastAsia="en-IN"/>
        </w:rPr>
        <w:t>O.O.Olorunsogo</w:t>
      </w:r>
      <w:proofErr w:type="spellEnd"/>
      <w:r w:rsidRPr="00226895">
        <w:rPr>
          <w:sz w:val="19"/>
          <w:szCs w:val="19"/>
          <w:lang w:val="en-IN" w:eastAsia="en-IN"/>
        </w:rPr>
        <w:t xml:space="preserve"> (2018) Induction of Apoptosis </w:t>
      </w:r>
      <w:proofErr w:type="gramStart"/>
      <w:r w:rsidRPr="00226895">
        <w:rPr>
          <w:sz w:val="19"/>
          <w:szCs w:val="19"/>
          <w:lang w:val="en-IN" w:eastAsia="en-IN"/>
        </w:rPr>
        <w:t>In Rat Liver Cells Via</w:t>
      </w:r>
      <w:proofErr w:type="gramEnd"/>
      <w:r w:rsidRPr="00226895">
        <w:rPr>
          <w:sz w:val="19"/>
          <w:szCs w:val="19"/>
          <w:lang w:val="en-IN" w:eastAsia="en-IN"/>
        </w:rPr>
        <w:t xml:space="preserve"> </w:t>
      </w:r>
      <w:proofErr w:type="spellStart"/>
      <w:r w:rsidRPr="00226895">
        <w:rPr>
          <w:sz w:val="19"/>
          <w:szCs w:val="19"/>
          <w:lang w:val="en-IN" w:eastAsia="en-IN"/>
        </w:rPr>
        <w:t>Caspase</w:t>
      </w:r>
      <w:proofErr w:type="spellEnd"/>
      <w:r w:rsidRPr="00226895">
        <w:rPr>
          <w:sz w:val="19"/>
          <w:szCs w:val="19"/>
          <w:lang w:val="en-IN" w:eastAsia="en-IN"/>
        </w:rPr>
        <w:t xml:space="preserve"> Activation by Chloroform Fraction of Methanol Extract of </w:t>
      </w:r>
      <w:proofErr w:type="spellStart"/>
      <w:r w:rsidRPr="00226895">
        <w:rPr>
          <w:sz w:val="19"/>
          <w:szCs w:val="19"/>
          <w:lang w:val="en-IN" w:eastAsia="en-IN"/>
        </w:rPr>
        <w:t>Drymaria</w:t>
      </w:r>
      <w:proofErr w:type="spellEnd"/>
      <w:r w:rsidRPr="00226895">
        <w:rPr>
          <w:sz w:val="19"/>
          <w:szCs w:val="19"/>
          <w:lang w:val="en-IN" w:eastAsia="en-IN"/>
        </w:rPr>
        <w:t xml:space="preserve"> </w:t>
      </w:r>
      <w:proofErr w:type="spellStart"/>
      <w:r w:rsidRPr="00226895">
        <w:rPr>
          <w:sz w:val="19"/>
          <w:szCs w:val="19"/>
          <w:lang w:val="en-IN" w:eastAsia="en-IN"/>
        </w:rPr>
        <w:t>cordata</w:t>
      </w:r>
      <w:proofErr w:type="spellEnd"/>
      <w:r w:rsidRPr="00226895">
        <w:rPr>
          <w:sz w:val="19"/>
          <w:szCs w:val="19"/>
          <w:lang w:val="en-IN" w:eastAsia="en-IN"/>
        </w:rPr>
        <w:t xml:space="preserve">. European Journal of </w:t>
      </w:r>
      <w:proofErr w:type="gramStart"/>
      <w:r w:rsidRPr="00226895">
        <w:rPr>
          <w:sz w:val="19"/>
          <w:szCs w:val="19"/>
          <w:lang w:val="en-IN" w:eastAsia="en-IN"/>
        </w:rPr>
        <w:t>Biomedical  and</w:t>
      </w:r>
      <w:proofErr w:type="gramEnd"/>
      <w:r w:rsidRPr="00226895">
        <w:rPr>
          <w:sz w:val="19"/>
          <w:szCs w:val="19"/>
          <w:lang w:val="en-IN" w:eastAsia="en-IN"/>
        </w:rPr>
        <w:t xml:space="preserve">  Pharmaceutical sciences . Volume: 5 .Issue: 4 73-83</w:t>
      </w:r>
    </w:p>
    <w:p w:rsidR="0090112A" w:rsidRPr="0005164C" w:rsidRDefault="0090112A" w:rsidP="0090112A">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90112A" w:rsidRDefault="0090112A" w:rsidP="0090112A">
      <w:pPr>
        <w:jc w:val="both"/>
        <w:rPr>
          <w:sz w:val="19"/>
          <w:szCs w:val="19"/>
        </w:rPr>
      </w:pPr>
      <w:r>
        <w:rPr>
          <w:sz w:val="19"/>
          <w:szCs w:val="19"/>
        </w:rPr>
        <w:t>A/O.O/</w:t>
      </w:r>
      <w:proofErr w:type="spellStart"/>
      <w:r>
        <w:rPr>
          <w:sz w:val="19"/>
          <w:szCs w:val="19"/>
        </w:rPr>
        <w:t>lowofolahan</w:t>
      </w:r>
      <w:proofErr w:type="spellEnd"/>
      <w:r>
        <w:rPr>
          <w:sz w:val="19"/>
          <w:szCs w:val="19"/>
        </w:rPr>
        <w:t xml:space="preserve"> has completed his PhD research and has presented his final PhD seminar. He is currently awaiting the </w:t>
      </w:r>
      <w:proofErr w:type="spellStart"/>
      <w:proofErr w:type="gramStart"/>
      <w:r>
        <w:rPr>
          <w:sz w:val="19"/>
          <w:szCs w:val="19"/>
        </w:rPr>
        <w:t>defence</w:t>
      </w:r>
      <w:proofErr w:type="spellEnd"/>
      <w:r>
        <w:rPr>
          <w:sz w:val="19"/>
          <w:szCs w:val="19"/>
        </w:rPr>
        <w:t xml:space="preserve">  coming</w:t>
      </w:r>
      <w:proofErr w:type="gramEnd"/>
      <w:r>
        <w:rPr>
          <w:sz w:val="19"/>
          <w:szCs w:val="19"/>
        </w:rPr>
        <w:t xml:space="preserve"> up soon at the University of Ibadan, Nigeria. He is </w:t>
      </w:r>
      <w:proofErr w:type="gramStart"/>
      <w:r>
        <w:rPr>
          <w:sz w:val="19"/>
          <w:szCs w:val="19"/>
        </w:rPr>
        <w:t>a  He</w:t>
      </w:r>
      <w:proofErr w:type="gramEnd"/>
      <w:r>
        <w:rPr>
          <w:sz w:val="19"/>
          <w:szCs w:val="19"/>
        </w:rPr>
        <w:t xml:space="preserve"> has published 6 journals in reputable journals out of which 3 is from his PhD work. </w:t>
      </w:r>
    </w:p>
    <w:p w:rsidR="0090112A" w:rsidRDefault="0090112A" w:rsidP="0090112A">
      <w:pPr>
        <w:jc w:val="both"/>
        <w:rPr>
          <w:sz w:val="19"/>
          <w:szCs w:val="19"/>
        </w:rPr>
      </w:pPr>
    </w:p>
    <w:p w:rsidR="0090112A" w:rsidRPr="0005164C" w:rsidRDefault="0090112A" w:rsidP="0090112A">
      <w:pPr>
        <w:jc w:val="both"/>
        <w:rPr>
          <w:rFonts w:eastAsia="MS PGothic"/>
          <w:b/>
          <w:sz w:val="19"/>
          <w:szCs w:val="19"/>
        </w:rPr>
      </w:pPr>
      <w:r w:rsidRPr="0005164C">
        <w:rPr>
          <w:sz w:val="19"/>
          <w:szCs w:val="19"/>
        </w:rPr>
        <w:tab/>
      </w:r>
      <w:r w:rsidRPr="0005164C">
        <w:rPr>
          <w:sz w:val="19"/>
          <w:szCs w:val="19"/>
        </w:rPr>
        <w:br/>
      </w:r>
    </w:p>
    <w:p w:rsidR="0090112A" w:rsidRPr="0005164C" w:rsidRDefault="0090112A" w:rsidP="0090112A">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rsidR="0090112A" w:rsidRPr="0005164C" w:rsidRDefault="0090112A" w:rsidP="0090112A">
      <w:pPr>
        <w:autoSpaceDE w:val="0"/>
        <w:autoSpaceDN w:val="0"/>
        <w:adjustRightInd w:val="0"/>
        <w:jc w:val="left"/>
        <w:rPr>
          <w:sz w:val="19"/>
          <w:szCs w:val="19"/>
          <w:lang w:val="en-NZ"/>
        </w:rPr>
      </w:pPr>
    </w:p>
    <w:p w:rsidR="0090112A" w:rsidRPr="0005164C" w:rsidRDefault="0090112A" w:rsidP="0090112A">
      <w:pPr>
        <w:autoSpaceDE w:val="0"/>
        <w:autoSpaceDN w:val="0"/>
        <w:adjustRightInd w:val="0"/>
        <w:jc w:val="left"/>
        <w:rPr>
          <w:sz w:val="19"/>
          <w:szCs w:val="19"/>
          <w:lang w:val="en-NZ"/>
        </w:rPr>
      </w:pPr>
      <w:r>
        <w:rPr>
          <w:noProof/>
          <w:sz w:val="19"/>
          <w:szCs w:val="19"/>
        </w:rPr>
        <w:drawing>
          <wp:inline distT="0" distB="0" distL="0" distR="0">
            <wp:extent cx="1123950" cy="1047750"/>
            <wp:effectExtent l="0" t="0" r="0" b="0"/>
            <wp:docPr id="1" name="Picture 1" descr="p 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 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3950" cy="1047750"/>
                    </a:xfrm>
                    <a:prstGeom prst="rect">
                      <a:avLst/>
                    </a:prstGeom>
                    <a:noFill/>
                    <a:ln>
                      <a:noFill/>
                    </a:ln>
                  </pic:spPr>
                </pic:pic>
              </a:graphicData>
            </a:graphic>
          </wp:inline>
        </w:drawing>
      </w:r>
      <w:r w:rsidRPr="0005164C">
        <w:rPr>
          <w:sz w:val="19"/>
          <w:szCs w:val="19"/>
          <w:lang w:val="en-NZ"/>
        </w:rPr>
        <w:br/>
      </w:r>
    </w:p>
    <w:p w:rsidR="0090112A" w:rsidRPr="0005164C" w:rsidRDefault="0090112A" w:rsidP="0090112A">
      <w:pPr>
        <w:autoSpaceDE w:val="0"/>
        <w:autoSpaceDN w:val="0"/>
        <w:adjustRightInd w:val="0"/>
        <w:jc w:val="left"/>
        <w:rPr>
          <w:sz w:val="19"/>
          <w:szCs w:val="19"/>
          <w:lang w:val="en-NZ"/>
        </w:rPr>
      </w:pPr>
      <w:r w:rsidRPr="0005164C">
        <w:rPr>
          <w:sz w:val="19"/>
          <w:szCs w:val="19"/>
          <w:lang w:val="en-NZ"/>
        </w:rPr>
        <w:t>Full Name:</w:t>
      </w:r>
      <w:r>
        <w:rPr>
          <w:sz w:val="19"/>
          <w:szCs w:val="19"/>
          <w:lang w:val="en-NZ"/>
        </w:rPr>
        <w:t xml:space="preserve"> </w:t>
      </w:r>
      <w:proofErr w:type="spellStart"/>
      <w:r>
        <w:rPr>
          <w:sz w:val="19"/>
          <w:szCs w:val="19"/>
          <w:lang w:val="en-NZ"/>
        </w:rPr>
        <w:t>Adeola</w:t>
      </w:r>
      <w:proofErr w:type="spellEnd"/>
      <w:r>
        <w:rPr>
          <w:sz w:val="19"/>
          <w:szCs w:val="19"/>
          <w:lang w:val="en-NZ"/>
        </w:rPr>
        <w:t xml:space="preserve"> </w:t>
      </w:r>
      <w:proofErr w:type="spellStart"/>
      <w:r>
        <w:rPr>
          <w:sz w:val="19"/>
          <w:szCs w:val="19"/>
          <w:lang w:val="en-NZ"/>
        </w:rPr>
        <w:t>Oluwakemi</w:t>
      </w:r>
      <w:proofErr w:type="spellEnd"/>
      <w:r>
        <w:rPr>
          <w:sz w:val="19"/>
          <w:szCs w:val="19"/>
          <w:lang w:val="en-NZ"/>
        </w:rPr>
        <w:t xml:space="preserve"> Olowofolahan</w:t>
      </w:r>
    </w:p>
    <w:p w:rsidR="0090112A" w:rsidRPr="0005164C" w:rsidRDefault="0090112A" w:rsidP="0090112A">
      <w:pPr>
        <w:autoSpaceDE w:val="0"/>
        <w:autoSpaceDN w:val="0"/>
        <w:adjustRightInd w:val="0"/>
        <w:jc w:val="left"/>
        <w:rPr>
          <w:b/>
          <w:sz w:val="19"/>
          <w:szCs w:val="19"/>
          <w:lang w:val="en-NZ"/>
        </w:rPr>
      </w:pPr>
      <w:r w:rsidRPr="0005164C">
        <w:rPr>
          <w:sz w:val="19"/>
          <w:szCs w:val="19"/>
          <w:lang w:val="en-NZ"/>
        </w:rPr>
        <w:t>Contact number:</w:t>
      </w:r>
      <w:r>
        <w:rPr>
          <w:sz w:val="19"/>
          <w:szCs w:val="19"/>
          <w:lang w:val="en-NZ"/>
        </w:rPr>
        <w:t xml:space="preserve"> +2347030179598</w:t>
      </w:r>
      <w:r w:rsidRPr="0005164C">
        <w:rPr>
          <w:sz w:val="19"/>
          <w:szCs w:val="19"/>
          <w:lang w:val="en-NZ"/>
        </w:rPr>
        <w:br/>
        <w:t>Twitter account</w:t>
      </w:r>
      <w:proofErr w:type="gramStart"/>
      <w:r w:rsidRPr="0005164C">
        <w:rPr>
          <w:sz w:val="19"/>
          <w:szCs w:val="19"/>
          <w:lang w:val="en-NZ"/>
        </w:rPr>
        <w:t>:</w:t>
      </w:r>
      <w:proofErr w:type="gramEnd"/>
      <w:r w:rsidRPr="0005164C">
        <w:rPr>
          <w:sz w:val="19"/>
          <w:szCs w:val="19"/>
          <w:lang w:val="en-NZ"/>
        </w:rPr>
        <w:br/>
        <w:t>Linked In account:</w:t>
      </w:r>
      <w:r>
        <w:rPr>
          <w:sz w:val="19"/>
          <w:szCs w:val="19"/>
          <w:lang w:val="en-NZ"/>
        </w:rPr>
        <w:t xml:space="preserve"> </w:t>
      </w:r>
      <w:proofErr w:type="spellStart"/>
      <w:r>
        <w:rPr>
          <w:sz w:val="19"/>
          <w:szCs w:val="19"/>
          <w:lang w:val="en-NZ"/>
        </w:rPr>
        <w:t>Adeola</w:t>
      </w:r>
      <w:proofErr w:type="spellEnd"/>
      <w:r>
        <w:rPr>
          <w:sz w:val="19"/>
          <w:szCs w:val="19"/>
          <w:lang w:val="en-NZ"/>
        </w:rPr>
        <w:t xml:space="preserve"> Olowofolahan</w:t>
      </w:r>
    </w:p>
    <w:p w:rsidR="0090112A" w:rsidRPr="0005164C" w:rsidRDefault="0090112A" w:rsidP="0090112A">
      <w:pPr>
        <w:autoSpaceDE w:val="0"/>
        <w:autoSpaceDN w:val="0"/>
        <w:adjustRightInd w:val="0"/>
        <w:jc w:val="left"/>
        <w:rPr>
          <w:sz w:val="19"/>
          <w:szCs w:val="19"/>
          <w:lang w:val="en-NZ"/>
        </w:rPr>
      </w:pPr>
      <w:r w:rsidRPr="0005164C">
        <w:rPr>
          <w:sz w:val="19"/>
          <w:szCs w:val="19"/>
          <w:lang w:val="en-NZ"/>
        </w:rPr>
        <w:t>Session name/ number</w:t>
      </w:r>
      <w:proofErr w:type="gramStart"/>
      <w:r w:rsidRPr="0005164C">
        <w:rPr>
          <w:sz w:val="19"/>
          <w:szCs w:val="19"/>
          <w:lang w:val="en-NZ"/>
        </w:rPr>
        <w:t>:</w:t>
      </w:r>
      <w:proofErr w:type="gramEnd"/>
      <w:r w:rsidRPr="0005164C">
        <w:rPr>
          <w:sz w:val="19"/>
          <w:szCs w:val="19"/>
          <w:lang w:val="en-NZ"/>
        </w:rPr>
        <w:br/>
        <w:t>Category: (Or</w:t>
      </w:r>
      <w:r>
        <w:rPr>
          <w:sz w:val="19"/>
          <w:szCs w:val="19"/>
          <w:lang w:val="en-NZ"/>
        </w:rPr>
        <w:t>al presentation)</w:t>
      </w:r>
    </w:p>
    <w:p w:rsidR="0090112A" w:rsidRPr="0005164C" w:rsidRDefault="0090112A" w:rsidP="0090112A">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Pr>
          <w:sz w:val="18"/>
          <w:szCs w:val="18"/>
          <w:lang w:val="en-IN"/>
        </w:rPr>
        <w:t xml:space="preserve">  A50264164</w:t>
      </w:r>
    </w:p>
    <w:p w:rsidR="00584666" w:rsidRDefault="00584666">
      <w:bookmarkStart w:id="3" w:name="_GoBack"/>
      <w:bookmarkEnd w:id="3"/>
    </w:p>
    <w:sectPr w:rsidR="00584666"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12A"/>
    <w:rsid w:val="00584666"/>
    <w:rsid w:val="00901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12A"/>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90112A"/>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90112A"/>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90112A"/>
    <w:rPr>
      <w:rFonts w:ascii="Times New Roman" w:eastAsia="MS Mincho" w:hAnsi="Times New Roman" w:cs="Times New Roman"/>
      <w:spacing w:val="-1"/>
      <w:sz w:val="20"/>
      <w:szCs w:val="20"/>
    </w:rPr>
  </w:style>
  <w:style w:type="paragraph" w:customStyle="1" w:styleId="keywords">
    <w:name w:val="key words"/>
    <w:uiPriority w:val="99"/>
    <w:rsid w:val="0090112A"/>
    <w:pPr>
      <w:spacing w:after="120" w:line="240" w:lineRule="auto"/>
      <w:ind w:firstLine="274"/>
      <w:jc w:val="both"/>
    </w:pPr>
    <w:rPr>
      <w:rFonts w:ascii="Times New Roman" w:eastAsia="Times New Roman" w:hAnsi="Times New Roman" w:cs="Times New Roman"/>
      <w:b/>
      <w:bCs/>
      <w:i/>
      <w:iCs/>
      <w:noProof/>
      <w:sz w:val="18"/>
      <w:szCs w:val="18"/>
    </w:rPr>
  </w:style>
  <w:style w:type="paragraph" w:customStyle="1" w:styleId="Default">
    <w:name w:val="Default"/>
    <w:rsid w:val="0090112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90112A"/>
    <w:rPr>
      <w:rFonts w:ascii="Tahoma" w:hAnsi="Tahoma" w:cs="Tahoma"/>
      <w:sz w:val="16"/>
      <w:szCs w:val="16"/>
    </w:rPr>
  </w:style>
  <w:style w:type="character" w:customStyle="1" w:styleId="BalloonTextChar">
    <w:name w:val="Balloon Text Char"/>
    <w:basedOn w:val="DefaultParagraphFont"/>
    <w:link w:val="BalloonText"/>
    <w:uiPriority w:val="99"/>
    <w:semiHidden/>
    <w:rsid w:val="0090112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12A"/>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90112A"/>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90112A"/>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90112A"/>
    <w:rPr>
      <w:rFonts w:ascii="Times New Roman" w:eastAsia="MS Mincho" w:hAnsi="Times New Roman" w:cs="Times New Roman"/>
      <w:spacing w:val="-1"/>
      <w:sz w:val="20"/>
      <w:szCs w:val="20"/>
    </w:rPr>
  </w:style>
  <w:style w:type="paragraph" w:customStyle="1" w:styleId="keywords">
    <w:name w:val="key words"/>
    <w:uiPriority w:val="99"/>
    <w:rsid w:val="0090112A"/>
    <w:pPr>
      <w:spacing w:after="120" w:line="240" w:lineRule="auto"/>
      <w:ind w:firstLine="274"/>
      <w:jc w:val="both"/>
    </w:pPr>
    <w:rPr>
      <w:rFonts w:ascii="Times New Roman" w:eastAsia="Times New Roman" w:hAnsi="Times New Roman" w:cs="Times New Roman"/>
      <w:b/>
      <w:bCs/>
      <w:i/>
      <w:iCs/>
      <w:noProof/>
      <w:sz w:val="18"/>
      <w:szCs w:val="18"/>
    </w:rPr>
  </w:style>
  <w:style w:type="paragraph" w:customStyle="1" w:styleId="Default">
    <w:name w:val="Default"/>
    <w:rsid w:val="0090112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90112A"/>
    <w:rPr>
      <w:rFonts w:ascii="Tahoma" w:hAnsi="Tahoma" w:cs="Tahoma"/>
      <w:sz w:val="16"/>
      <w:szCs w:val="16"/>
    </w:rPr>
  </w:style>
  <w:style w:type="character" w:customStyle="1" w:styleId="BalloonTextChar">
    <w:name w:val="Balloon Text Char"/>
    <w:basedOn w:val="DefaultParagraphFont"/>
    <w:link w:val="BalloonText"/>
    <w:uiPriority w:val="99"/>
    <w:semiHidden/>
    <w:rsid w:val="0090112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540</Words>
  <Characters>3078</Characters>
  <Application>Microsoft Office Word</Application>
  <DocSecurity>0</DocSecurity>
  <Lines>25</Lines>
  <Paragraphs>7</Paragraphs>
  <ScaleCrop>false</ScaleCrop>
  <Company/>
  <LinksUpToDate>false</LinksUpToDate>
  <CharactersWithSpaces>3611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2018-05-13T19:45:00Z</dcterms:created>
  <dcterms:modified xsi:type="dcterms:W3CDTF">2018-05-13T19:48:00Z</dcterms:modified>
</cp:coreProperties>
</file>