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60B" w:rsidRDefault="007A660B" w:rsidP="00BE6550">
      <w:pPr>
        <w:spacing w:before="120" w:after="120" w:line="240" w:lineRule="auto"/>
        <w:jc w:val="center"/>
        <w:rPr>
          <w:rFonts w:ascii="Trebuchet MS" w:hAnsi="Trebuchet MS"/>
          <w:sz w:val="24"/>
          <w:szCs w:val="24"/>
          <w:lang w:val="en-US"/>
        </w:rPr>
      </w:pPr>
      <w:r w:rsidRPr="007A660B">
        <w:rPr>
          <w:rFonts w:ascii="Trebuchet MS" w:hAnsi="Trebuchet MS"/>
          <w:sz w:val="24"/>
          <w:szCs w:val="24"/>
          <w:lang w:val="en-US"/>
        </w:rPr>
        <w:t xml:space="preserve">Brain health: Role of </w:t>
      </w:r>
      <w:proofErr w:type="spellStart"/>
      <w:r w:rsidRPr="007A660B">
        <w:rPr>
          <w:rFonts w:ascii="Trebuchet MS" w:hAnsi="Trebuchet MS"/>
          <w:sz w:val="24"/>
          <w:szCs w:val="24"/>
          <w:lang w:val="en-US"/>
        </w:rPr>
        <w:t>evidence-based</w:t>
      </w:r>
      <w:proofErr w:type="spellEnd"/>
      <w:r w:rsidRPr="007A660B">
        <w:rPr>
          <w:rFonts w:ascii="Trebuchet MS" w:hAnsi="Trebuchet MS"/>
          <w:sz w:val="24"/>
          <w:szCs w:val="24"/>
          <w:lang w:val="en-US"/>
        </w:rPr>
        <w:t xml:space="preserve"> natural medicines</w:t>
      </w:r>
    </w:p>
    <w:p w:rsidR="00BD48CE" w:rsidRPr="00BD48CE" w:rsidRDefault="00BD48CE" w:rsidP="00BE6550">
      <w:pPr>
        <w:spacing w:before="120" w:after="120" w:line="240" w:lineRule="auto"/>
        <w:jc w:val="center"/>
        <w:rPr>
          <w:rFonts w:ascii="Trebuchet MS" w:hAnsi="Trebuchet MS"/>
          <w:sz w:val="24"/>
          <w:szCs w:val="24"/>
          <w:lang w:val="en-US"/>
        </w:rPr>
      </w:pPr>
      <w:r w:rsidRPr="00BD48CE">
        <w:rPr>
          <w:rFonts w:ascii="Trebuchet MS" w:hAnsi="Trebuchet MS"/>
          <w:sz w:val="24"/>
          <w:szCs w:val="24"/>
          <w:lang w:val="en-US"/>
        </w:rPr>
        <w:t>Dilip Ghosh</w:t>
      </w:r>
      <w:r w:rsidR="007A660B">
        <w:rPr>
          <w:rFonts w:ascii="Trebuchet MS" w:hAnsi="Trebuchet MS"/>
          <w:sz w:val="24"/>
          <w:szCs w:val="24"/>
          <w:lang w:val="en-US"/>
        </w:rPr>
        <w:t>, PhD, FACN</w:t>
      </w:r>
    </w:p>
    <w:p w:rsidR="007A660B" w:rsidRDefault="003E193B" w:rsidP="00BE6550">
      <w:pPr>
        <w:spacing w:before="120" w:after="120" w:line="240" w:lineRule="auto"/>
        <w:jc w:val="center"/>
        <w:rPr>
          <w:rFonts w:ascii="Trebuchet MS" w:hAnsi="Trebuchet MS"/>
          <w:sz w:val="24"/>
          <w:szCs w:val="24"/>
          <w:lang w:val="en-US"/>
        </w:rPr>
      </w:pPr>
      <w:proofErr w:type="spellStart"/>
      <w:r w:rsidRPr="003E193B">
        <w:rPr>
          <w:rFonts w:ascii="Trebuchet MS" w:hAnsi="Trebuchet MS"/>
          <w:sz w:val="24"/>
          <w:szCs w:val="24"/>
          <w:lang w:val="en-US"/>
        </w:rPr>
        <w:t>Soho</w:t>
      </w:r>
      <w:proofErr w:type="spellEnd"/>
      <w:r w:rsidRPr="003E193B">
        <w:rPr>
          <w:rFonts w:ascii="Trebuchet MS" w:hAnsi="Trebuchet MS"/>
          <w:sz w:val="24"/>
          <w:szCs w:val="24"/>
          <w:lang w:val="en-US"/>
        </w:rPr>
        <w:t xml:space="preserve"> Flordis International Australia Pty Ltd</w:t>
      </w:r>
      <w:r w:rsidR="007A660B">
        <w:rPr>
          <w:rFonts w:ascii="Trebuchet MS" w:hAnsi="Trebuchet MS"/>
          <w:sz w:val="24"/>
          <w:szCs w:val="24"/>
          <w:lang w:val="en-US"/>
        </w:rPr>
        <w:t>, Sydney, Australia</w:t>
      </w:r>
    </w:p>
    <w:p w:rsidR="00BD48CE" w:rsidRPr="00BD48CE" w:rsidRDefault="007A660B" w:rsidP="00BE6550">
      <w:pPr>
        <w:spacing w:before="120" w:after="120" w:line="240" w:lineRule="auto"/>
        <w:jc w:val="center"/>
        <w:rPr>
          <w:rFonts w:ascii="Trebuchet MS" w:hAnsi="Trebuchet MS"/>
          <w:sz w:val="24"/>
          <w:szCs w:val="24"/>
          <w:lang w:val="en-US"/>
        </w:rPr>
      </w:pPr>
      <w:r w:rsidRPr="00B6029B">
        <w:rPr>
          <w:rFonts w:ascii="Trebuchet MS" w:hAnsi="Trebuchet MS"/>
          <w:color w:val="3366FF"/>
          <w:sz w:val="24"/>
          <w:szCs w:val="24"/>
          <w:lang w:val="en-US"/>
        </w:rPr>
        <w:t>Dilip.</w:t>
      </w:r>
      <w:r w:rsidR="00890908" w:rsidRPr="00B6029B">
        <w:rPr>
          <w:rFonts w:ascii="Trebuchet MS" w:hAnsi="Trebuchet MS"/>
          <w:color w:val="3366FF"/>
          <w:sz w:val="24"/>
          <w:szCs w:val="24"/>
          <w:lang w:val="en-US"/>
        </w:rPr>
        <w:t>G</w:t>
      </w:r>
      <w:r w:rsidRPr="00B6029B">
        <w:rPr>
          <w:rFonts w:ascii="Trebuchet MS" w:hAnsi="Trebuchet MS"/>
          <w:color w:val="3366FF"/>
          <w:sz w:val="24"/>
          <w:szCs w:val="24"/>
          <w:lang w:val="en-US"/>
        </w:rPr>
        <w:t>hosh@sfihealth.com</w:t>
      </w:r>
      <w:r>
        <w:rPr>
          <w:rFonts w:ascii="Trebuchet MS" w:hAnsi="Trebuchet MS"/>
          <w:sz w:val="24"/>
          <w:szCs w:val="24"/>
          <w:lang w:val="en-US"/>
        </w:rPr>
        <w:t xml:space="preserve"> </w:t>
      </w:r>
    </w:p>
    <w:p w:rsidR="00385B81" w:rsidRDefault="00BD48CE" w:rsidP="00BD48CE">
      <w:pPr>
        <w:spacing w:before="120" w:after="120" w:line="240" w:lineRule="auto"/>
        <w:rPr>
          <w:rFonts w:ascii="Times New Roman" w:hAnsi="Times New Roman" w:cs="Times New Roman"/>
          <w:sz w:val="20"/>
          <w:szCs w:val="20"/>
          <w:lang w:val="en-US"/>
        </w:rPr>
      </w:pPr>
      <w:r w:rsidRPr="00D95BFF">
        <w:rPr>
          <w:rFonts w:ascii="Times New Roman" w:hAnsi="Times New Roman" w:cs="Times New Roman"/>
          <w:sz w:val="20"/>
          <w:szCs w:val="20"/>
        </w:rPr>
        <w:t xml:space="preserve">The brain is a complex organ that neuroscientists are still attempting to understand. As people live longer, dysfunction of the brain is becoming a predominant issue for the healthcare system. Cognitive decline, particularly in elderly people, often derives from the interaction between age-related changes and age-related diseases, and covers a wide spectrum of clinical manifestations. Epidemiological evidence supports the hypothesis that modifiable lifestyle-related factors are associated with cognitive decline, opening new avenues. </w:t>
      </w:r>
      <w:r w:rsidRPr="00D95BFF">
        <w:rPr>
          <w:rFonts w:ascii="Times New Roman" w:hAnsi="Times New Roman" w:cs="Times New Roman"/>
          <w:sz w:val="20"/>
          <w:szCs w:val="20"/>
          <w:lang w:val="en-US"/>
        </w:rPr>
        <w:t>Due to the multifactorial nature, the role of nutrition in cognitive neuroscience is complex. The concern is not simply with the impact of a single chemical on the brain but with multiple nutrients, metabolites and interacting factors. Numerous nutraceutical combinations have entered the international market through exploration of ethno-pharmacological claims made by different traditional practices without robust quality, safety and efficacy proof.</w:t>
      </w:r>
      <w:r w:rsidR="00FB749E" w:rsidRPr="00D95BFF">
        <w:rPr>
          <w:rFonts w:ascii="Times New Roman" w:hAnsi="Times New Roman" w:cs="Times New Roman"/>
          <w:sz w:val="20"/>
          <w:szCs w:val="20"/>
          <w:lang w:val="en-US"/>
        </w:rPr>
        <w:t xml:space="preserve"> </w:t>
      </w:r>
      <w:r w:rsidRPr="00D95BFF">
        <w:rPr>
          <w:rFonts w:ascii="Times New Roman" w:hAnsi="Times New Roman" w:cs="Times New Roman"/>
          <w:sz w:val="20"/>
          <w:szCs w:val="20"/>
          <w:lang w:val="en-US"/>
        </w:rPr>
        <w:t xml:space="preserve">The role of clinically proven natural products in brain health is urgently needed and few products have addressed this need. </w:t>
      </w:r>
      <w:proofErr w:type="spellStart"/>
      <w:r w:rsidRPr="00D95BFF">
        <w:rPr>
          <w:rFonts w:ascii="Times New Roman" w:hAnsi="Times New Roman" w:cs="Times New Roman"/>
          <w:b/>
          <w:bCs/>
          <w:sz w:val="20"/>
          <w:szCs w:val="20"/>
          <w:lang w:val="en-US"/>
        </w:rPr>
        <w:t>KeenMind</w:t>
      </w:r>
      <w:proofErr w:type="spellEnd"/>
      <w:r w:rsidRPr="00D95BFF">
        <w:rPr>
          <w:rFonts w:ascii="Times New Roman" w:hAnsi="Times New Roman" w:cs="Times New Roman"/>
          <w:b/>
          <w:bCs/>
          <w:sz w:val="20"/>
          <w:szCs w:val="20"/>
          <w:vertAlign w:val="superscript"/>
          <w:lang w:val="en-US"/>
        </w:rPr>
        <w:t>®</w:t>
      </w:r>
      <w:r w:rsidRPr="00D95BFF">
        <w:rPr>
          <w:rFonts w:ascii="Times New Roman" w:hAnsi="Times New Roman" w:cs="Times New Roman"/>
          <w:b/>
          <w:bCs/>
          <w:sz w:val="20"/>
          <w:szCs w:val="20"/>
          <w:lang w:val="en-US"/>
        </w:rPr>
        <w:t xml:space="preserve"> </w:t>
      </w:r>
      <w:r w:rsidRPr="00D95BFF">
        <w:rPr>
          <w:rFonts w:ascii="Times New Roman" w:hAnsi="Times New Roman" w:cs="Times New Roman"/>
          <w:sz w:val="20"/>
          <w:szCs w:val="20"/>
          <w:lang w:val="en-US"/>
        </w:rPr>
        <w:t>(</w:t>
      </w:r>
      <w:hyperlink r:id="rId6" w:history="1">
        <w:r w:rsidRPr="00D95BFF">
          <w:rPr>
            <w:rStyle w:val="Hyperlink"/>
            <w:rFonts w:ascii="Times New Roman" w:hAnsi="Times New Roman" w:cs="Times New Roman"/>
            <w:sz w:val="20"/>
            <w:szCs w:val="20"/>
            <w:lang w:val="en-US"/>
          </w:rPr>
          <w:t>www.keenmind.info</w:t>
        </w:r>
      </w:hyperlink>
      <w:r w:rsidRPr="00D95BFF">
        <w:rPr>
          <w:rFonts w:ascii="Times New Roman" w:hAnsi="Times New Roman" w:cs="Times New Roman"/>
          <w:sz w:val="20"/>
          <w:szCs w:val="20"/>
          <w:lang w:val="en-US"/>
        </w:rPr>
        <w:t xml:space="preserve">), a </w:t>
      </w:r>
      <w:r w:rsidR="003E193B" w:rsidRPr="00D95BFF">
        <w:rPr>
          <w:rFonts w:ascii="Times New Roman" w:hAnsi="Times New Roman" w:cs="Times New Roman"/>
          <w:sz w:val="20"/>
          <w:szCs w:val="20"/>
          <w:lang w:val="en-US"/>
        </w:rPr>
        <w:t xml:space="preserve">specific, </w:t>
      </w:r>
      <w:proofErr w:type="spellStart"/>
      <w:r w:rsidRPr="00D95BFF">
        <w:rPr>
          <w:rFonts w:ascii="Times New Roman" w:hAnsi="Times New Roman" w:cs="Times New Roman"/>
          <w:sz w:val="20"/>
          <w:szCs w:val="20"/>
          <w:lang w:val="en-US"/>
        </w:rPr>
        <w:t>standardised</w:t>
      </w:r>
      <w:proofErr w:type="spellEnd"/>
      <w:r w:rsidRPr="00D95BFF">
        <w:rPr>
          <w:rFonts w:ascii="Times New Roman" w:hAnsi="Times New Roman" w:cs="Times New Roman"/>
          <w:sz w:val="20"/>
          <w:szCs w:val="20"/>
          <w:lang w:val="en-US"/>
        </w:rPr>
        <w:t xml:space="preserve"> extract (CDRI08</w:t>
      </w:r>
      <w:r w:rsidR="007A660B" w:rsidRPr="00D95BFF">
        <w:rPr>
          <w:rFonts w:ascii="Times New Roman" w:hAnsi="Times New Roman" w:cs="Times New Roman"/>
          <w:b/>
          <w:bCs/>
          <w:sz w:val="20"/>
          <w:szCs w:val="20"/>
          <w:vertAlign w:val="superscript"/>
          <w:lang w:val="en-US"/>
        </w:rPr>
        <w:t>®</w:t>
      </w:r>
      <w:r w:rsidRPr="00D95BFF">
        <w:rPr>
          <w:rFonts w:ascii="Times New Roman" w:hAnsi="Times New Roman" w:cs="Times New Roman"/>
          <w:sz w:val="20"/>
          <w:szCs w:val="20"/>
          <w:lang w:val="en-US"/>
        </w:rPr>
        <w:t xml:space="preserve">) made from an Indian </w:t>
      </w:r>
      <w:proofErr w:type="spellStart"/>
      <w:r w:rsidRPr="00D95BFF">
        <w:rPr>
          <w:rFonts w:ascii="Times New Roman" w:hAnsi="Times New Roman" w:cs="Times New Roman"/>
          <w:sz w:val="20"/>
          <w:szCs w:val="20"/>
          <w:lang w:val="en-US"/>
        </w:rPr>
        <w:t>Ayurvedic</w:t>
      </w:r>
      <w:proofErr w:type="spellEnd"/>
      <w:r w:rsidRPr="00D95BFF">
        <w:rPr>
          <w:rFonts w:ascii="Times New Roman" w:hAnsi="Times New Roman" w:cs="Times New Roman"/>
          <w:sz w:val="20"/>
          <w:szCs w:val="20"/>
          <w:lang w:val="en-US"/>
        </w:rPr>
        <w:t xml:space="preserve"> herb, </w:t>
      </w:r>
      <w:proofErr w:type="spellStart"/>
      <w:r w:rsidRPr="00D95BFF">
        <w:rPr>
          <w:rFonts w:ascii="Times New Roman" w:hAnsi="Times New Roman" w:cs="Times New Roman"/>
          <w:i/>
          <w:iCs/>
          <w:sz w:val="20"/>
          <w:szCs w:val="20"/>
          <w:lang w:val="en-US"/>
        </w:rPr>
        <w:t>Bacopa</w:t>
      </w:r>
      <w:proofErr w:type="spellEnd"/>
      <w:r w:rsidRPr="00D95BFF">
        <w:rPr>
          <w:rFonts w:ascii="Times New Roman" w:hAnsi="Times New Roman" w:cs="Times New Roman"/>
          <w:i/>
          <w:iCs/>
          <w:sz w:val="20"/>
          <w:szCs w:val="20"/>
          <w:lang w:val="en-US"/>
        </w:rPr>
        <w:t xml:space="preserve"> </w:t>
      </w:r>
      <w:proofErr w:type="spellStart"/>
      <w:r w:rsidRPr="00D95BFF">
        <w:rPr>
          <w:rFonts w:ascii="Times New Roman" w:hAnsi="Times New Roman" w:cs="Times New Roman"/>
          <w:i/>
          <w:iCs/>
          <w:sz w:val="20"/>
          <w:szCs w:val="20"/>
          <w:lang w:val="en-US"/>
        </w:rPr>
        <w:t>monnieri</w:t>
      </w:r>
      <w:proofErr w:type="spellEnd"/>
      <w:r w:rsidRPr="00D95BFF">
        <w:rPr>
          <w:rFonts w:ascii="Times New Roman" w:hAnsi="Times New Roman" w:cs="Times New Roman"/>
          <w:sz w:val="20"/>
          <w:szCs w:val="20"/>
          <w:lang w:val="en-US"/>
        </w:rPr>
        <w:t xml:space="preserve">, with numerous </w:t>
      </w:r>
      <w:proofErr w:type="spellStart"/>
      <w:r w:rsidRPr="00D95BFF">
        <w:rPr>
          <w:rFonts w:ascii="Times New Roman" w:hAnsi="Times New Roman" w:cs="Times New Roman"/>
          <w:sz w:val="20"/>
          <w:szCs w:val="20"/>
          <w:lang w:val="en-US"/>
        </w:rPr>
        <w:t>randomised</w:t>
      </w:r>
      <w:proofErr w:type="spellEnd"/>
      <w:r w:rsidRPr="00D95BFF">
        <w:rPr>
          <w:rFonts w:ascii="Times New Roman" w:hAnsi="Times New Roman" w:cs="Times New Roman"/>
          <w:sz w:val="20"/>
          <w:szCs w:val="20"/>
          <w:lang w:val="en-US"/>
        </w:rPr>
        <w:t>, double-blind, placebo-controlled studies demonstrates benefits for enhancing memory retention and recall, improving mental clarity and focus, as well as assisting learning, concentration and attention.</w:t>
      </w:r>
      <w:r w:rsidR="00FB749E" w:rsidRPr="00D95BFF">
        <w:rPr>
          <w:rFonts w:ascii="Times New Roman" w:hAnsi="Times New Roman" w:cs="Times New Roman"/>
          <w:sz w:val="20"/>
          <w:szCs w:val="20"/>
          <w:lang w:val="en-US"/>
        </w:rPr>
        <w:t xml:space="preserve"> </w:t>
      </w:r>
      <w:proofErr w:type="spellStart"/>
      <w:r w:rsidRPr="00D95BFF">
        <w:rPr>
          <w:rFonts w:ascii="Times New Roman" w:hAnsi="Times New Roman" w:cs="Times New Roman"/>
          <w:sz w:val="20"/>
          <w:szCs w:val="20"/>
          <w:lang w:val="en-US"/>
        </w:rPr>
        <w:t>KeenMind</w:t>
      </w:r>
      <w:proofErr w:type="spellEnd"/>
      <w:r w:rsidRPr="00D95BFF">
        <w:rPr>
          <w:rFonts w:ascii="Times New Roman" w:hAnsi="Times New Roman" w:cs="Times New Roman"/>
          <w:sz w:val="20"/>
          <w:szCs w:val="20"/>
          <w:lang w:val="en-US"/>
        </w:rPr>
        <w:t xml:space="preserve"> is very useful to facilitate learning and concentration, particularly in children and students.</w:t>
      </w:r>
      <w:r w:rsidR="00FB749E" w:rsidRPr="00D95BFF">
        <w:rPr>
          <w:rFonts w:ascii="Times New Roman" w:hAnsi="Times New Roman" w:cs="Times New Roman"/>
          <w:sz w:val="20"/>
          <w:szCs w:val="20"/>
          <w:lang w:val="en-US"/>
        </w:rPr>
        <w:t xml:space="preserve"> </w:t>
      </w:r>
      <w:r w:rsidR="00526773" w:rsidRPr="00D95BFF">
        <w:rPr>
          <w:rFonts w:ascii="Times New Roman" w:hAnsi="Times New Roman" w:cs="Times New Roman"/>
          <w:bCs/>
          <w:sz w:val="20"/>
          <w:szCs w:val="20"/>
          <w:lang w:val="en-US"/>
        </w:rPr>
        <w:t xml:space="preserve">Two ongoing RCT studies in Australia explore the effect of </w:t>
      </w:r>
      <w:proofErr w:type="spellStart"/>
      <w:r w:rsidR="00526773" w:rsidRPr="00D95BFF">
        <w:rPr>
          <w:rFonts w:ascii="Times New Roman" w:hAnsi="Times New Roman" w:cs="Times New Roman"/>
          <w:bCs/>
          <w:sz w:val="20"/>
          <w:szCs w:val="20"/>
          <w:lang w:val="en-US"/>
        </w:rPr>
        <w:t>KeenMind</w:t>
      </w:r>
      <w:proofErr w:type="spellEnd"/>
      <w:r w:rsidR="00526773" w:rsidRPr="00D95BFF">
        <w:rPr>
          <w:rFonts w:ascii="Times New Roman" w:hAnsi="Times New Roman" w:cs="Times New Roman"/>
          <w:bCs/>
          <w:sz w:val="20"/>
          <w:szCs w:val="20"/>
          <w:lang w:val="en-US"/>
        </w:rPr>
        <w:t xml:space="preserve"> in modulating brain ageing, cardiovascular system, improving cognition in the elderly and ameliorating the symptoms of inattention and hyperactivity in children. </w:t>
      </w:r>
      <w:r w:rsidR="0044051A" w:rsidRPr="00D95BFF">
        <w:rPr>
          <w:rFonts w:ascii="Times New Roman" w:hAnsi="Times New Roman" w:cs="Times New Roman"/>
          <w:sz w:val="20"/>
          <w:szCs w:val="20"/>
          <w:lang w:val="en-US"/>
        </w:rPr>
        <w:t xml:space="preserve">This can be used for mature and elderly individuals to aid memory and reduce decline in mental performance. </w:t>
      </w:r>
      <w:proofErr w:type="spellStart"/>
      <w:r w:rsidRPr="00D95BFF">
        <w:rPr>
          <w:rFonts w:ascii="Times New Roman" w:hAnsi="Times New Roman" w:cs="Times New Roman"/>
          <w:sz w:val="20"/>
          <w:szCs w:val="20"/>
          <w:lang w:val="en-US"/>
        </w:rPr>
        <w:t>KeenMind</w:t>
      </w:r>
      <w:proofErr w:type="spellEnd"/>
      <w:r w:rsidRPr="00D95BFF">
        <w:rPr>
          <w:rFonts w:ascii="Times New Roman" w:hAnsi="Times New Roman" w:cs="Times New Roman"/>
          <w:sz w:val="20"/>
          <w:szCs w:val="20"/>
          <w:lang w:val="en-US"/>
        </w:rPr>
        <w:t xml:space="preserve"> supplementation can be an ideal choice for those with intellectually demanding jobs or those who are under pressure.</w:t>
      </w:r>
    </w:p>
    <w:p w:rsidR="0013276D" w:rsidRPr="0013276D" w:rsidRDefault="0013276D" w:rsidP="00BD48CE">
      <w:pPr>
        <w:spacing w:before="120" w:after="120" w:line="240" w:lineRule="auto"/>
        <w:rPr>
          <w:rFonts w:ascii="Times New Roman" w:hAnsi="Times New Roman" w:cs="Times New Roman"/>
          <w:b/>
          <w:sz w:val="20"/>
          <w:szCs w:val="20"/>
          <w:lang w:val="en-US"/>
        </w:rPr>
      </w:pPr>
      <w:r w:rsidRPr="0013276D">
        <w:rPr>
          <w:rFonts w:ascii="Times New Roman" w:hAnsi="Times New Roman" w:cs="Times New Roman"/>
          <w:b/>
          <w:sz w:val="20"/>
          <w:szCs w:val="20"/>
          <w:lang w:val="en-US"/>
        </w:rPr>
        <w:t>Biography</w:t>
      </w:r>
      <w:bookmarkStart w:id="0" w:name="_GoBack"/>
      <w:bookmarkEnd w:id="0"/>
    </w:p>
    <w:p w:rsidR="0013276D" w:rsidRPr="0013276D" w:rsidRDefault="0013276D" w:rsidP="0013276D">
      <w:pPr>
        <w:spacing w:before="120" w:after="120" w:line="240" w:lineRule="auto"/>
        <w:rPr>
          <w:rFonts w:ascii="Times New Roman" w:hAnsi="Times New Roman" w:cs="Times New Roman"/>
          <w:sz w:val="20"/>
          <w:szCs w:val="20"/>
          <w:lang w:val="en-US"/>
        </w:rPr>
      </w:pPr>
      <w:r w:rsidRPr="0013276D">
        <w:rPr>
          <w:rFonts w:ascii="Times New Roman" w:hAnsi="Times New Roman" w:cs="Times New Roman"/>
          <w:sz w:val="20"/>
          <w:szCs w:val="20"/>
          <w:lang w:val="en-US"/>
        </w:rPr>
        <w:t xml:space="preserve">Dilip has received his PhD in biomedical science from University of Calcutta, India. Dr. Ghosh is an international speaker, facilitator and author and professionally associated with SOHO-Flordis International (SFI), Australia; Honorary Ambassador, Global Harmonization Initiative (GHI), University of Western Sydney. Previously, he held positions in </w:t>
      </w:r>
      <w:proofErr w:type="spellStart"/>
      <w:r w:rsidRPr="0013276D">
        <w:rPr>
          <w:rFonts w:ascii="Times New Roman" w:hAnsi="Times New Roman" w:cs="Times New Roman"/>
          <w:sz w:val="20"/>
          <w:szCs w:val="20"/>
          <w:lang w:val="en-US"/>
        </w:rPr>
        <w:t>Organon</w:t>
      </w:r>
      <w:proofErr w:type="spellEnd"/>
      <w:r w:rsidRPr="0013276D">
        <w:rPr>
          <w:rFonts w:ascii="Times New Roman" w:hAnsi="Times New Roman" w:cs="Times New Roman"/>
          <w:sz w:val="20"/>
          <w:szCs w:val="20"/>
          <w:lang w:val="en-US"/>
        </w:rPr>
        <w:t xml:space="preserve"> (India) Ltd., a division of </w:t>
      </w:r>
      <w:proofErr w:type="spellStart"/>
      <w:r w:rsidRPr="0013276D">
        <w:rPr>
          <w:rFonts w:ascii="Times New Roman" w:hAnsi="Times New Roman" w:cs="Times New Roman"/>
          <w:sz w:val="20"/>
          <w:szCs w:val="20"/>
          <w:lang w:val="en-US"/>
        </w:rPr>
        <w:t>Organon</w:t>
      </w:r>
      <w:proofErr w:type="spellEnd"/>
      <w:r w:rsidRPr="0013276D">
        <w:rPr>
          <w:rFonts w:ascii="Times New Roman" w:hAnsi="Times New Roman" w:cs="Times New Roman"/>
          <w:sz w:val="20"/>
          <w:szCs w:val="20"/>
          <w:lang w:val="en-US"/>
        </w:rPr>
        <w:t xml:space="preserve"> International, BV and AKZO-NOBEL, The Netherlands; </w:t>
      </w:r>
      <w:proofErr w:type="spellStart"/>
      <w:r w:rsidRPr="0013276D">
        <w:rPr>
          <w:rFonts w:ascii="Times New Roman" w:hAnsi="Times New Roman" w:cs="Times New Roman"/>
          <w:sz w:val="20"/>
          <w:szCs w:val="20"/>
          <w:lang w:val="en-US"/>
        </w:rPr>
        <w:t>HortResearch</w:t>
      </w:r>
      <w:proofErr w:type="spellEnd"/>
      <w:r w:rsidRPr="0013276D">
        <w:rPr>
          <w:rFonts w:ascii="Times New Roman" w:hAnsi="Times New Roman" w:cs="Times New Roman"/>
          <w:sz w:val="20"/>
          <w:szCs w:val="20"/>
          <w:lang w:val="en-US"/>
        </w:rPr>
        <w:t xml:space="preserve">, New Zealand; USDA-ARS, HNRCA at Tufts University, Boston; The Smart Foods Centre, University of Wollongong, &amp; Neptune Bio-Innovation Pty Ltd, Australia. He is a fellow of American College of Nutrition, Professional member, AIFST, and also in editorial board of several journals. </w:t>
      </w:r>
    </w:p>
    <w:p w:rsidR="0013276D" w:rsidRPr="00D95BFF" w:rsidRDefault="0013276D" w:rsidP="0013276D">
      <w:pPr>
        <w:spacing w:before="120" w:after="120" w:line="240" w:lineRule="auto"/>
        <w:rPr>
          <w:rFonts w:ascii="Times New Roman" w:hAnsi="Times New Roman" w:cs="Times New Roman"/>
          <w:sz w:val="20"/>
          <w:szCs w:val="20"/>
          <w:lang w:val="en-US"/>
        </w:rPr>
      </w:pPr>
      <w:r w:rsidRPr="0013276D">
        <w:rPr>
          <w:rFonts w:ascii="Times New Roman" w:hAnsi="Times New Roman" w:cs="Times New Roman"/>
          <w:sz w:val="20"/>
          <w:szCs w:val="20"/>
          <w:lang w:val="en-US"/>
        </w:rPr>
        <w:t xml:space="preserve">Dr. Ghosh has published more than 90 papers in peer reviewed journals, numerous articles in food and nutrition magazines and books. His four recent books, “Biotechnology in functional foods and nutraceuticals”, “Innovation in healthy and functional foods”, “Clinical aspects of functional foods &amp; nutraceuticals” and “Pharmaceuticals to Nutraceuticals: A shift in disease </w:t>
      </w:r>
      <w:proofErr w:type="spellStart"/>
      <w:r w:rsidRPr="0013276D">
        <w:rPr>
          <w:rFonts w:ascii="Times New Roman" w:hAnsi="Times New Roman" w:cs="Times New Roman"/>
          <w:sz w:val="20"/>
          <w:szCs w:val="20"/>
          <w:lang w:val="en-US"/>
        </w:rPr>
        <w:t>prevemtion</w:t>
      </w:r>
      <w:proofErr w:type="spellEnd"/>
      <w:r w:rsidRPr="0013276D">
        <w:rPr>
          <w:rFonts w:ascii="Times New Roman" w:hAnsi="Times New Roman" w:cs="Times New Roman"/>
          <w:sz w:val="20"/>
          <w:szCs w:val="20"/>
          <w:lang w:val="en-US"/>
        </w:rPr>
        <w:t>” have been published in 2010, 2012, 2014 &amp; 2016. Dr. Ghosh is a Review Editor, Frontiers in Nutrigenomics; Editorial board member, The American Journal of Advanced Food Science and Technology, USA, J Obesity &amp; Metabolic Research; Columnist @ The Nutraceutical World, USA. He can be reached at: dilip.ghosh@sfihealth.com, dghosh@optusnet.com.au.</w:t>
      </w:r>
    </w:p>
    <w:p w:rsidR="00BD48CE" w:rsidRDefault="00BD48CE" w:rsidP="007A660B">
      <w:pPr>
        <w:spacing w:before="120" w:after="120" w:line="240" w:lineRule="auto"/>
        <w:rPr>
          <w:rFonts w:ascii="Trebuchet MS" w:hAnsi="Trebuchet MS"/>
          <w:sz w:val="24"/>
          <w:szCs w:val="24"/>
          <w:lang w:val="en-US"/>
        </w:rPr>
      </w:pPr>
    </w:p>
    <w:sectPr w:rsidR="00BD48CE" w:rsidSect="007A660B">
      <w:pgSz w:w="11906" w:h="16838"/>
      <w:pgMar w:top="72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F80A9E"/>
    <w:multiLevelType w:val="hybridMultilevel"/>
    <w:tmpl w:val="0EFE9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8CE"/>
    <w:rsid w:val="0013276D"/>
    <w:rsid w:val="00333B57"/>
    <w:rsid w:val="00385B81"/>
    <w:rsid w:val="003E193B"/>
    <w:rsid w:val="0044051A"/>
    <w:rsid w:val="00526773"/>
    <w:rsid w:val="00575518"/>
    <w:rsid w:val="005F267E"/>
    <w:rsid w:val="006161FF"/>
    <w:rsid w:val="007A660B"/>
    <w:rsid w:val="00890908"/>
    <w:rsid w:val="00A759D7"/>
    <w:rsid w:val="00B6029B"/>
    <w:rsid w:val="00BD48CE"/>
    <w:rsid w:val="00BE6550"/>
    <w:rsid w:val="00CD4542"/>
    <w:rsid w:val="00D95BFF"/>
    <w:rsid w:val="00FB74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48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48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eenmind.inf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528</Words>
  <Characters>3201</Characters>
  <Application>Microsoft Office Word</Application>
  <DocSecurity>0</DocSecurity>
  <Lines>57</Lines>
  <Paragraphs>31</Paragraphs>
  <ScaleCrop>false</ScaleCrop>
  <HeadingPairs>
    <vt:vector size="2" baseType="variant">
      <vt:variant>
        <vt:lpstr>Title</vt:lpstr>
      </vt:variant>
      <vt:variant>
        <vt:i4>1</vt:i4>
      </vt:variant>
    </vt:vector>
  </HeadingPairs>
  <TitlesOfParts>
    <vt:vector size="1" baseType="lpstr">
      <vt:lpstr/>
    </vt:vector>
  </TitlesOfParts>
  <Company>Soho Flordis International</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Dilip Ghosh</dc:creator>
  <cp:lastModifiedBy>Dilip Ghosh</cp:lastModifiedBy>
  <cp:revision>5</cp:revision>
  <cp:lastPrinted>2017-05-10T01:19:00Z</cp:lastPrinted>
  <dcterms:created xsi:type="dcterms:W3CDTF">2017-05-10T01:18:00Z</dcterms:created>
  <dcterms:modified xsi:type="dcterms:W3CDTF">2017-06-16T01:23:00Z</dcterms:modified>
</cp:coreProperties>
</file>