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autoSpaceDE w:val="0"/>
        <w:autoSpaceDN w:val="0"/>
        <w:adjustRightInd w:val="0"/>
        <w:spacing w:before="0" w:beforeAutospacing="0" w:after="0" w:afterAutospacing="0"/>
        <w:ind w:left="0" w:right="0"/>
        <w:jc w:val="left"/>
        <w:rPr>
          <w:rFonts w:hint="default" w:ascii="Tw Cen MT" w:hAnsi="Tw Cen MT" w:cs="Tw Cen MT"/>
          <w:i w:val="0"/>
          <w:iCs w:val="0"/>
          <w:color w:val="0000FF"/>
          <w:sz w:val="36"/>
          <w:szCs w:val="36"/>
          <w:lang w:val="en-US"/>
        </w:rPr>
      </w:pPr>
      <w:r>
        <w:rPr>
          <w:rFonts w:hint="default" w:ascii="Tw Cen MT" w:hAnsi="Tw Cen MT" w:eastAsia="Batang" w:cs="Tw Cen MT"/>
          <w:color w:val="000000"/>
          <w:sz w:val="36"/>
          <w:szCs w:val="36"/>
          <w:lang w:val="en-US" w:eastAsia="ko-KR"/>
        </w:rPr>
        <w:t>Evaluation of t</w:t>
      </w:r>
      <w:r>
        <w:rPr>
          <w:rFonts w:hint="default" w:ascii="Tw Cen MT" w:hAnsi="Tw Cen MT" w:eastAsia="Batang" w:cs="Tw Cen MT"/>
          <w:color w:val="000000"/>
          <w:sz w:val="36"/>
          <w:szCs w:val="36"/>
          <w:lang w:eastAsia="ko-KR"/>
        </w:rPr>
        <w:t xml:space="preserve">herapeutic potential of folk plants </w:t>
      </w:r>
      <w:r>
        <w:rPr>
          <w:rFonts w:hint="default" w:eastAsia="Batang" w:cs="Tw Cen MT"/>
          <w:color w:val="000000"/>
          <w:sz w:val="36"/>
          <w:szCs w:val="36"/>
          <w:lang w:val="en-US" w:eastAsia="ko-KR"/>
        </w:rPr>
        <w:t xml:space="preserve">extracts </w:t>
      </w:r>
      <w:r>
        <w:rPr>
          <w:rFonts w:hint="default" w:ascii="Tw Cen MT" w:hAnsi="Tw Cen MT" w:cs="Tw Cen MT"/>
          <w:color w:val="000000"/>
          <w:sz w:val="36"/>
          <w:szCs w:val="36"/>
        </w:rPr>
        <w:t xml:space="preserve">against </w:t>
      </w:r>
      <w:r>
        <w:rPr>
          <w:rFonts w:hint="default" w:ascii="Tw Cen MT" w:hAnsi="Tw Cen MT" w:cs="Tw Cen MT"/>
          <w:color w:val="000000"/>
          <w:sz w:val="36"/>
          <w:szCs w:val="36"/>
          <w:lang w:val="en-US"/>
        </w:rPr>
        <w:t xml:space="preserve">Acanthamoeba </w:t>
      </w:r>
      <w:r>
        <w:rPr>
          <w:rFonts w:hint="default" w:ascii="Tw Cen MT" w:hAnsi="Tw Cen MT" w:cs="Tw Cen MT"/>
          <w:i/>
          <w:iCs/>
          <w:color w:val="000000"/>
          <w:sz w:val="36"/>
          <w:szCs w:val="36"/>
          <w:lang w:val="en-US"/>
        </w:rPr>
        <w:t>in vitro</w:t>
      </w:r>
    </w:p>
    <w:p>
      <w:pPr>
        <w:pStyle w:val="6"/>
        <w:spacing w:before="73" w:line="198" w:lineRule="exact"/>
        <w:ind w:left="100" w:right="5987"/>
        <w:rPr>
          <w:rFonts w:ascii="Arial"/>
          <w:sz w:val="16"/>
          <w:szCs w:val="16"/>
          <w:lang w:val="en-US"/>
        </w:rPr>
      </w:pPr>
    </w:p>
    <w:p>
      <w:pPr>
        <w:pStyle w:val="6"/>
        <w:spacing w:before="73" w:line="198" w:lineRule="exact"/>
        <w:ind w:left="100" w:right="5987"/>
        <w:rPr>
          <w:rFonts w:ascii="Arial"/>
          <w:sz w:val="16"/>
          <w:szCs w:val="16"/>
          <w:lang w:val="en-US"/>
        </w:rPr>
      </w:pPr>
      <w:r>
        <w:rPr>
          <w:rFonts w:ascii="Arial"/>
          <w:sz w:val="16"/>
          <w:szCs w:val="16"/>
          <w:lang w:val="en-US"/>
        </w:rPr>
        <w:t>Abdul Matin</w:t>
      </w:r>
      <w:r>
        <w:rPr>
          <w:rFonts w:ascii="Arial"/>
          <w:sz w:val="16"/>
          <w:szCs w:val="16"/>
        </w:rPr>
        <w:t>, PhD,</w:t>
      </w:r>
      <w:r>
        <w:rPr>
          <w:rFonts w:ascii="Arial"/>
          <w:sz w:val="16"/>
          <w:szCs w:val="16"/>
          <w:lang w:val="en-US"/>
        </w:rPr>
        <w:t xml:space="preserve"> PDPhil, PGCHE, Majmaah University, KSA</w:t>
      </w:r>
    </w:p>
    <w:p>
      <w:pPr>
        <w:pStyle w:val="6"/>
        <w:spacing w:before="73" w:line="198" w:lineRule="exact"/>
        <w:ind w:left="100" w:right="5987"/>
        <w:rPr>
          <w:rFonts w:ascii="Arial"/>
          <w:sz w:val="16"/>
          <w:szCs w:val="16"/>
          <w:lang w:val="en-US"/>
        </w:rPr>
      </w:pPr>
      <w:r>
        <w:rPr>
          <w:rFonts w:ascii="Arial"/>
          <w:sz w:val="16"/>
          <w:szCs w:val="16"/>
          <w:lang w:val="en-US"/>
        </w:rPr>
        <w:t>Hafiz Muhammad Sohaib</w:t>
      </w:r>
      <w:r>
        <w:rPr>
          <w:rFonts w:ascii="Arial"/>
          <w:sz w:val="16"/>
          <w:szCs w:val="16"/>
        </w:rPr>
        <w:t xml:space="preserve">, </w:t>
      </w:r>
      <w:r>
        <w:rPr>
          <w:rFonts w:ascii="Arial"/>
          <w:sz w:val="16"/>
          <w:szCs w:val="16"/>
          <w:lang w:val="en-US"/>
        </w:rPr>
        <w:t>International Islamic University, PAK</w:t>
      </w:r>
    </w:p>
    <w:p>
      <w:pPr>
        <w:pStyle w:val="6"/>
        <w:spacing w:before="73" w:line="198" w:lineRule="exact"/>
        <w:ind w:left="100" w:right="5987"/>
        <w:rPr>
          <w:rFonts w:ascii="Arial"/>
          <w:sz w:val="16"/>
          <w:szCs w:val="16"/>
          <w:lang w:val="en-US"/>
        </w:rPr>
      </w:pPr>
      <w:r>
        <w:rPr>
          <w:rFonts w:ascii="Arial"/>
          <w:sz w:val="16"/>
          <w:szCs w:val="16"/>
          <w:lang w:val="en-US"/>
        </w:rPr>
        <w:t xml:space="preserve">Salik Nawaz, University of the Punjab, PAK </w:t>
      </w:r>
    </w:p>
    <w:p>
      <w:pPr>
        <w:pStyle w:val="6"/>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w:t>
      </w:r>
    </w:p>
    <w:p>
      <w:pPr>
        <w:keepNext w:val="0"/>
        <w:keepLines w:val="0"/>
        <w:widowControl/>
        <w:suppressLineNumbers w:val="0"/>
        <w:spacing w:before="0" w:beforeAutospacing="0" w:after="0" w:afterAutospacing="0"/>
        <w:ind w:left="0" w:right="0"/>
        <w:jc w:val="both"/>
        <w:rPr>
          <w:color w:val="auto"/>
          <w:sz w:val="18"/>
          <w:szCs w:val="18"/>
        </w:rPr>
      </w:pPr>
      <w:r>
        <w:rPr>
          <w:color w:val="auto"/>
          <w:sz w:val="18"/>
          <w:szCs w:val="18"/>
        </w:rPr>
        <w:t>Statement of the Problem:</w:t>
      </w:r>
      <w:r>
        <w:rPr>
          <w:color w:val="auto"/>
          <w:sz w:val="18"/>
          <w:szCs w:val="18"/>
          <w:lang w:val="en-US"/>
        </w:rPr>
        <w:t xml:space="preserve"> </w:t>
      </w:r>
      <w:r>
        <w:rPr>
          <w:rFonts w:hint="default" w:ascii="Tw Cen MT" w:hAnsi="Tw Cen MT" w:eastAsia="Times New Roman" w:cs="Tw Cen MT"/>
          <w:color w:val="auto"/>
          <w:sz w:val="18"/>
          <w:szCs w:val="18"/>
          <w:lang w:val="en-US" w:eastAsia="en-US" w:bidi="ar"/>
        </w:rPr>
        <w:t xml:space="preserve">Acanthamoeba is an opportunistic protozoan pathogen and one of the most </w:t>
      </w:r>
      <w:r>
        <w:rPr>
          <w:rFonts w:hint="default" w:eastAsia="Times New Roman" w:cs="Tw Cen MT"/>
          <w:color w:val="auto"/>
          <w:sz w:val="18"/>
          <w:szCs w:val="18"/>
          <w:lang w:val="en-US" w:eastAsia="en-US" w:bidi="ar"/>
        </w:rPr>
        <w:t>prevalent</w:t>
      </w:r>
      <w:r>
        <w:rPr>
          <w:rFonts w:hint="default" w:ascii="Tw Cen MT" w:hAnsi="Tw Cen MT" w:eastAsia="Times New Roman" w:cs="Tw Cen MT"/>
          <w:color w:val="auto"/>
          <w:sz w:val="18"/>
          <w:szCs w:val="18"/>
          <w:lang w:val="en-US" w:eastAsia="en-US" w:bidi="ar"/>
        </w:rPr>
        <w:t xml:space="preserve"> organisms</w:t>
      </w:r>
      <w:r>
        <w:rPr>
          <w:rFonts w:hint="default" w:eastAsia="Times New Roman" w:cs="Tw Cen MT"/>
          <w:color w:val="auto"/>
          <w:sz w:val="18"/>
          <w:szCs w:val="18"/>
          <w:lang w:val="en-US" w:eastAsia="en-US" w:bidi="ar"/>
        </w:rPr>
        <w:t xml:space="preserve"> in our natural environment (i.e., air, soil and water). It is</w:t>
      </w:r>
      <w:r>
        <w:rPr>
          <w:rFonts w:hint="default" w:ascii="Tw Cen MT" w:hAnsi="Tw Cen MT" w:eastAsia="Times New Roman" w:cs="Tw Cen MT"/>
          <w:color w:val="auto"/>
          <w:sz w:val="18"/>
          <w:szCs w:val="18"/>
          <w:lang w:val="en-US" w:eastAsia="en-US" w:bidi="ar"/>
        </w:rPr>
        <w:t xml:space="preserve"> recognized to cause </w:t>
      </w:r>
      <w:r>
        <w:rPr>
          <w:rFonts w:hint="default" w:eastAsia="Times New Roman" w:cs="Tw Cen MT"/>
          <w:color w:val="auto"/>
          <w:sz w:val="18"/>
          <w:szCs w:val="18"/>
          <w:lang w:val="en-US" w:eastAsia="en-US" w:bidi="ar"/>
        </w:rPr>
        <w:t>fatal brain infection (</w:t>
      </w:r>
      <w:r>
        <w:rPr>
          <w:rFonts w:hint="default" w:ascii="Tw Cen MT" w:hAnsi="Tw Cen MT" w:eastAsia="Times New Roman" w:cs="Tw Cen MT"/>
          <w:color w:val="auto"/>
          <w:sz w:val="18"/>
          <w:szCs w:val="18"/>
          <w:lang w:val="en-US" w:eastAsia="en-US" w:bidi="ar"/>
        </w:rPr>
        <w:t>granulomatous encephalitis</w:t>
      </w:r>
      <w:r>
        <w:rPr>
          <w:rFonts w:hint="default" w:eastAsia="Times New Roman" w:cs="Tw Cen MT"/>
          <w:color w:val="auto"/>
          <w:sz w:val="18"/>
          <w:szCs w:val="18"/>
          <w:lang w:val="en-US" w:eastAsia="en-US" w:bidi="ar"/>
        </w:rPr>
        <w:t>) and eye infection (</w:t>
      </w:r>
      <w:r>
        <w:rPr>
          <w:rFonts w:hint="default" w:ascii="Tw Cen MT" w:hAnsi="Tw Cen MT" w:eastAsia="Times New Roman" w:cs="Tw Cen MT"/>
          <w:color w:val="auto"/>
          <w:sz w:val="18"/>
          <w:szCs w:val="18"/>
          <w:lang w:val="en-US" w:eastAsia="en-US" w:bidi="ar"/>
        </w:rPr>
        <w:t>blinding keratitis</w:t>
      </w:r>
      <w:r>
        <w:rPr>
          <w:rFonts w:hint="default" w:eastAsia="Times New Roman" w:cs="Tw Cen MT"/>
          <w:color w:val="auto"/>
          <w:sz w:val="18"/>
          <w:szCs w:val="18"/>
          <w:lang w:val="en-US" w:eastAsia="en-US" w:bidi="ar"/>
        </w:rPr>
        <w:t>)</w:t>
      </w:r>
      <w:r>
        <w:rPr>
          <w:rFonts w:hint="default" w:ascii="Tw Cen MT" w:hAnsi="Tw Cen MT" w:eastAsia="Times New Roman" w:cs="Tw Cen MT"/>
          <w:color w:val="auto"/>
          <w:sz w:val="18"/>
          <w:szCs w:val="18"/>
          <w:lang w:val="en-US" w:eastAsia="en-US" w:bidi="ar"/>
        </w:rPr>
        <w:t xml:space="preserve">. </w:t>
      </w:r>
      <w:r>
        <w:rPr>
          <w:rFonts w:hint="default" w:ascii="Tw Cen MT" w:hAnsi="Tw Cen MT" w:eastAsia="Times New Roman" w:cs="Times New Roman"/>
          <w:color w:val="auto"/>
          <w:sz w:val="18"/>
          <w:szCs w:val="18"/>
          <w:lang w:val="en-US" w:eastAsia="en-US" w:bidi="ar"/>
        </w:rPr>
        <w:t xml:space="preserve">Treatments for both infections are problematic because of the amoebic cysts resistance to therapeutic agents. </w:t>
      </w:r>
      <w:r>
        <w:rPr>
          <w:rFonts w:hint="default" w:ascii="Tw Cen MT" w:hAnsi="Tw Cen MT" w:eastAsia="Times New Roman" w:cs="Tw Cen MT"/>
          <w:color w:val="auto"/>
          <w:sz w:val="18"/>
          <w:szCs w:val="18"/>
          <w:lang w:val="en-US" w:eastAsia="en-US" w:bidi="ar"/>
        </w:rPr>
        <w:t>Th</w:t>
      </w:r>
      <w:r>
        <w:rPr>
          <w:rFonts w:hint="default" w:eastAsia="Times New Roman" w:cs="Tw Cen MT"/>
          <w:color w:val="auto"/>
          <w:sz w:val="18"/>
          <w:szCs w:val="18"/>
          <w:lang w:val="en-US" w:eastAsia="en-US" w:bidi="ar"/>
        </w:rPr>
        <w:t>at’s why there</w:t>
      </w:r>
      <w:r>
        <w:rPr>
          <w:rFonts w:hint="default" w:ascii="Tw Cen MT" w:hAnsi="Tw Cen MT" w:eastAsia="Times New Roman" w:cs="Tw Cen MT"/>
          <w:color w:val="auto"/>
          <w:sz w:val="18"/>
          <w:szCs w:val="18"/>
          <w:lang w:val="en-US" w:eastAsia="en-US" w:bidi="ar"/>
        </w:rPr>
        <w:t xml:space="preserve"> is </w:t>
      </w:r>
      <w:r>
        <w:rPr>
          <w:rFonts w:hint="default" w:eastAsia="Times New Roman" w:cs="Tw Cen MT"/>
          <w:color w:val="auto"/>
          <w:sz w:val="18"/>
          <w:szCs w:val="18"/>
          <w:lang w:val="en-US" w:eastAsia="en-US" w:bidi="ar"/>
        </w:rPr>
        <w:t xml:space="preserve">no </w:t>
      </w:r>
      <w:r>
        <w:rPr>
          <w:rFonts w:hint="default" w:ascii="Tw Cen MT" w:hAnsi="Tw Cen MT" w:eastAsia="Times New Roman" w:cs="Tw Cen MT"/>
          <w:color w:val="auto"/>
          <w:sz w:val="18"/>
          <w:szCs w:val="18"/>
          <w:lang w:val="en-US" w:eastAsia="en-US" w:bidi="ar"/>
        </w:rPr>
        <w:t>effective anti-</w:t>
      </w:r>
      <w:r>
        <w:rPr>
          <w:rFonts w:hint="default" w:eastAsia="Times New Roman" w:cs="Tw Cen MT"/>
          <w:color w:val="auto"/>
          <w:sz w:val="18"/>
          <w:szCs w:val="18"/>
          <w:lang w:val="en-US" w:eastAsia="en-US" w:bidi="ar"/>
        </w:rPr>
        <w:t>amoebic drug available to date.</w:t>
      </w:r>
      <w:r>
        <w:rPr>
          <w:rFonts w:hint="default" w:ascii="Times New Roman" w:hAnsi="Times New Roman" w:eastAsia="Times New Roman" w:cs="Times New Roman"/>
          <w:color w:val="auto"/>
          <w:sz w:val="18"/>
          <w:szCs w:val="18"/>
          <w:lang w:val="en-US" w:eastAsia="en-US" w:bidi="ar"/>
        </w:rPr>
        <w:t xml:space="preserve"> </w:t>
      </w:r>
      <w:r>
        <w:rPr>
          <w:rFonts w:hint="default" w:ascii="Tw Cen MT" w:hAnsi="Tw Cen MT" w:eastAsia="Times New Roman" w:cs="Times New Roman"/>
          <w:color w:val="auto"/>
          <w:sz w:val="18"/>
          <w:szCs w:val="18"/>
          <w:lang w:val="en-US" w:eastAsia="en-US" w:bidi="ar"/>
        </w:rPr>
        <w:t xml:space="preserve">The </w:t>
      </w:r>
      <w:r>
        <w:rPr>
          <w:rFonts w:hint="default" w:eastAsia="Times New Roman" w:cs="Times New Roman"/>
          <w:color w:val="auto"/>
          <w:sz w:val="18"/>
          <w:szCs w:val="18"/>
          <w:lang w:val="en-US" w:eastAsia="en-US" w:bidi="ar"/>
        </w:rPr>
        <w:t>purpose</w:t>
      </w:r>
      <w:r>
        <w:rPr>
          <w:rFonts w:hint="default" w:ascii="Tw Cen MT" w:hAnsi="Tw Cen MT" w:eastAsia="Times New Roman" w:cs="Times New Roman"/>
          <w:color w:val="auto"/>
          <w:sz w:val="18"/>
          <w:szCs w:val="18"/>
          <w:lang w:val="en-US" w:eastAsia="en-US" w:bidi="ar"/>
        </w:rPr>
        <w:t xml:space="preserve"> of the present study was to </w:t>
      </w:r>
      <w:r>
        <w:rPr>
          <w:rFonts w:hint="default" w:eastAsia="Times New Roman" w:cs="Times New Roman"/>
          <w:color w:val="auto"/>
          <w:sz w:val="18"/>
          <w:szCs w:val="18"/>
          <w:lang w:val="en-US" w:eastAsia="en-US" w:bidi="ar"/>
        </w:rPr>
        <w:t xml:space="preserve">evaluate in vitro strength of </w:t>
      </w:r>
      <w:r>
        <w:rPr>
          <w:rFonts w:hint="default" w:ascii="Tw Cen MT" w:hAnsi="Tw Cen MT" w:eastAsia="Times New Roman" w:cs="Times New Roman"/>
          <w:color w:val="auto"/>
          <w:sz w:val="18"/>
          <w:szCs w:val="18"/>
          <w:lang w:val="en-US" w:eastAsia="en-US" w:bidi="ar"/>
        </w:rPr>
        <w:t>plants extracts on the viability and biological p</w:t>
      </w:r>
      <w:bookmarkStart w:id="0" w:name="_GoBack"/>
      <w:bookmarkEnd w:id="0"/>
      <w:r>
        <w:rPr>
          <w:rFonts w:hint="default" w:ascii="Tw Cen MT" w:hAnsi="Tw Cen MT" w:eastAsia="Times New Roman" w:cs="Times New Roman"/>
          <w:color w:val="auto"/>
          <w:sz w:val="18"/>
          <w:szCs w:val="18"/>
          <w:lang w:val="en-US" w:eastAsia="en-US" w:bidi="ar"/>
        </w:rPr>
        <w:t xml:space="preserve">roperties of Acanthamoeba castellanii (T4 genotype) and its cytotoxic effects on human corneal epithelial cells (HCEC). </w:t>
      </w:r>
      <w:r>
        <w:rPr>
          <w:color w:val="auto"/>
          <w:sz w:val="18"/>
          <w:szCs w:val="18"/>
        </w:rPr>
        <w:t xml:space="preserve">Methodology &amp; Theoretical Orientation: </w:t>
      </w:r>
      <w:r>
        <w:rPr>
          <w:color w:val="auto"/>
          <w:sz w:val="18"/>
          <w:szCs w:val="18"/>
          <w:lang w:val="en-US"/>
        </w:rPr>
        <w:t>Using HCEC, adhesion, cytotoxicity and amoebicidal, amoebisttic and growth assays were performed</w:t>
      </w:r>
      <w:r>
        <w:rPr>
          <w:color w:val="auto"/>
          <w:sz w:val="18"/>
          <w:szCs w:val="18"/>
        </w:rPr>
        <w:t xml:space="preserve">. Findings: </w:t>
      </w:r>
      <w:r>
        <w:rPr>
          <w:color w:val="auto"/>
          <w:sz w:val="18"/>
          <w:szCs w:val="18"/>
          <w:lang w:val="en-US"/>
        </w:rPr>
        <w:t xml:space="preserve">Normally </w:t>
      </w:r>
      <w:r>
        <w:rPr>
          <w:rFonts w:hint="default" w:ascii="Tw Cen MT" w:hAnsi="Tw Cen MT" w:eastAsia="Tw Cen MT" w:cs="Tw Cen MT"/>
          <w:color w:val="auto"/>
          <w:kern w:val="0"/>
          <w:sz w:val="18"/>
          <w:szCs w:val="18"/>
          <w:lang w:val="en-US" w:eastAsia="zh-CN" w:bidi="ar"/>
        </w:rPr>
        <w:t>Acanthamoeba exhibited &gt;90 %</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binding and &gt;80 %</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 xml:space="preserve">cytotoxicity to </w:t>
      </w:r>
      <w:r>
        <w:rPr>
          <w:rFonts w:hint="default" w:cs="Tw Cen MT"/>
          <w:color w:val="auto"/>
          <w:kern w:val="0"/>
          <w:sz w:val="18"/>
          <w:szCs w:val="18"/>
          <w:lang w:val="en-US" w:eastAsia="zh-CN" w:bidi="ar"/>
        </w:rPr>
        <w:t>HCEC</w:t>
      </w:r>
      <w:r>
        <w:rPr>
          <w:rFonts w:hint="default" w:ascii="Tw Cen MT" w:hAnsi="Tw Cen MT" w:eastAsia="Tw Cen MT" w:cs="Tw Cen MT"/>
          <w:color w:val="auto"/>
          <w:kern w:val="0"/>
          <w:sz w:val="18"/>
          <w:szCs w:val="18"/>
          <w:lang w:val="en-US" w:eastAsia="zh-CN" w:bidi="ar"/>
        </w:rPr>
        <w:t xml:space="preserve"> cells</w:t>
      </w:r>
      <w:r>
        <w:rPr>
          <w:rFonts w:hint="default" w:cs="Tw Cen MT"/>
          <w:color w:val="auto"/>
          <w:kern w:val="0"/>
          <w:sz w:val="18"/>
          <w:szCs w:val="18"/>
          <w:lang w:val="en-US" w:eastAsia="zh-CN" w:bidi="ar"/>
        </w:rPr>
        <w:t xml:space="preserve"> which was</w:t>
      </w:r>
      <w:r>
        <w:rPr>
          <w:rFonts w:hint="default" w:ascii="Tw Cen MT" w:hAnsi="Tw Cen MT" w:eastAsia="Tw Cen MT" w:cs="Tw Cen MT"/>
          <w:color w:val="auto"/>
          <w:kern w:val="0"/>
          <w:sz w:val="18"/>
          <w:szCs w:val="18"/>
          <w:lang w:val="en-US" w:eastAsia="zh-CN" w:bidi="ar"/>
        </w:rPr>
        <w:t xml:space="preserve"> remarkably inhibited </w:t>
      </w:r>
      <w:r>
        <w:rPr>
          <w:rFonts w:hint="default" w:cs="Tw Cen MT"/>
          <w:color w:val="auto"/>
          <w:kern w:val="0"/>
          <w:sz w:val="18"/>
          <w:szCs w:val="18"/>
          <w:lang w:val="en-US" w:eastAsia="zh-CN" w:bidi="ar"/>
        </w:rPr>
        <w:t xml:space="preserve">by </w:t>
      </w:r>
      <w:r>
        <w:rPr>
          <w:rFonts w:hint="default" w:ascii="Tw Cen MT" w:hAnsi="Tw Cen MT" w:eastAsia="Tw Cen MT" w:cs="Tw Cen MT"/>
          <w:color w:val="auto"/>
          <w:kern w:val="0"/>
          <w:sz w:val="18"/>
          <w:szCs w:val="18"/>
          <w:lang w:val="en-US" w:eastAsia="zh-CN" w:bidi="ar"/>
        </w:rPr>
        <w:t xml:space="preserve">plant extracts </w:t>
      </w:r>
      <w:r>
        <w:rPr>
          <w:rFonts w:hint="default" w:cs="Tw Cen MT"/>
          <w:color w:val="auto"/>
          <w:kern w:val="0"/>
          <w:sz w:val="18"/>
          <w:szCs w:val="18"/>
          <w:lang w:val="en-US" w:eastAsia="zh-CN" w:bidi="ar"/>
        </w:rPr>
        <w:t xml:space="preserve">to </w:t>
      </w:r>
      <w:r>
        <w:rPr>
          <w:rFonts w:hint="default" w:ascii="Tw Cen MT" w:hAnsi="Tw Cen MT" w:cs="Tw Cen MT"/>
          <w:color w:val="auto"/>
          <w:kern w:val="0"/>
          <w:sz w:val="18"/>
          <w:szCs w:val="18"/>
          <w:lang w:val="en-US" w:eastAsia="zh-CN" w:bidi="ar"/>
        </w:rPr>
        <w:t>&gt;</w:t>
      </w:r>
      <w:r>
        <w:rPr>
          <w:rFonts w:hint="default" w:ascii="Tw Cen MT" w:hAnsi="Tw Cen MT" w:eastAsia="Tw Cen MT" w:cs="Tw Cen MT"/>
          <w:color w:val="auto"/>
          <w:kern w:val="0"/>
          <w:sz w:val="18"/>
          <w:szCs w:val="18"/>
          <w:lang w:val="en-US" w:eastAsia="zh-CN" w:bidi="ar"/>
        </w:rPr>
        <w:t xml:space="preserve">70 and 60 % respectively. It was </w:t>
      </w:r>
      <w:r>
        <w:rPr>
          <w:rFonts w:hint="default" w:cs="Tw Cen MT"/>
          <w:color w:val="auto"/>
          <w:kern w:val="0"/>
          <w:sz w:val="18"/>
          <w:szCs w:val="18"/>
          <w:lang w:val="en-US" w:eastAsia="zh-CN" w:bidi="ar"/>
        </w:rPr>
        <w:t xml:space="preserve">also observed </w:t>
      </w:r>
      <w:r>
        <w:rPr>
          <w:rFonts w:hint="default" w:ascii="Tw Cen MT" w:hAnsi="Tw Cen MT" w:eastAsia="Tw Cen MT" w:cs="Tw Cen MT"/>
          <w:color w:val="auto"/>
          <w:kern w:val="0"/>
          <w:sz w:val="18"/>
          <w:szCs w:val="18"/>
          <w:lang w:val="en-US" w:eastAsia="zh-CN" w:bidi="ar"/>
        </w:rPr>
        <w:t xml:space="preserve">that extracts (ranging from 0.1 to 1.5 mg/ml) exhibited amoebicidal effects, i.e., &gt;50 % of trophozoites were </w:t>
      </w:r>
      <w:r>
        <w:rPr>
          <w:rFonts w:hint="default" w:cs="Tw Cen MT"/>
          <w:color w:val="auto"/>
          <w:kern w:val="0"/>
          <w:sz w:val="18"/>
          <w:szCs w:val="18"/>
          <w:lang w:val="en-US" w:eastAsia="zh-CN" w:bidi="ar"/>
        </w:rPr>
        <w:t>kill</w:t>
      </w:r>
      <w:r>
        <w:rPr>
          <w:rFonts w:hint="default" w:ascii="Tw Cen MT" w:hAnsi="Tw Cen MT" w:eastAsia="Tw Cen MT" w:cs="Tw Cen MT"/>
          <w:color w:val="auto"/>
          <w:kern w:val="0"/>
          <w:sz w:val="18"/>
          <w:szCs w:val="18"/>
          <w:lang w:val="en-US" w:eastAsia="zh-CN" w:bidi="ar"/>
        </w:rPr>
        <w:t>ed at</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 xml:space="preserve">1.5 mg/ml within 1 h. However, the residual </w:t>
      </w:r>
      <w:r>
        <w:rPr>
          <w:rFonts w:hint="default" w:cs="Tw Cen MT"/>
          <w:color w:val="auto"/>
          <w:kern w:val="0"/>
          <w:sz w:val="18"/>
          <w:szCs w:val="18"/>
          <w:lang w:val="en-US" w:eastAsia="zh-CN" w:bidi="ar"/>
        </w:rPr>
        <w:t xml:space="preserve">amoeba </w:t>
      </w:r>
      <w:r>
        <w:rPr>
          <w:rFonts w:hint="default" w:ascii="Tw Cen MT" w:hAnsi="Tw Cen MT" w:eastAsia="Tw Cen MT" w:cs="Tw Cen MT"/>
          <w:color w:val="auto"/>
          <w:kern w:val="0"/>
          <w:sz w:val="18"/>
          <w:szCs w:val="18"/>
          <w:lang w:val="en-US" w:eastAsia="zh-CN" w:bidi="ar"/>
        </w:rPr>
        <w:t xml:space="preserve">remained static </w:t>
      </w:r>
      <w:r>
        <w:rPr>
          <w:rFonts w:hint="default" w:cs="Tw Cen MT"/>
          <w:color w:val="auto"/>
          <w:kern w:val="0"/>
          <w:sz w:val="18"/>
          <w:szCs w:val="18"/>
          <w:lang w:val="en-US" w:eastAsia="zh-CN" w:bidi="ar"/>
        </w:rPr>
        <w:t>for quite some time</w:t>
      </w:r>
      <w:r>
        <w:rPr>
          <w:rFonts w:hint="default" w:ascii="Tw Cen MT" w:hAnsi="Tw Cen MT" w:eastAsia="Tw Cen MT" w:cs="Tw Cen MT"/>
          <w:color w:val="auto"/>
          <w:kern w:val="0"/>
          <w:sz w:val="18"/>
          <w:szCs w:val="18"/>
          <w:lang w:val="en-US" w:eastAsia="zh-CN" w:bidi="ar"/>
        </w:rPr>
        <w:t xml:space="preserve">. Furthermore, extracts </w:t>
      </w:r>
      <w:r>
        <w:rPr>
          <w:rFonts w:hint="default" w:cs="Tw Cen MT"/>
          <w:color w:val="auto"/>
          <w:kern w:val="0"/>
          <w:sz w:val="18"/>
          <w:szCs w:val="18"/>
          <w:lang w:val="en-US" w:eastAsia="zh-CN" w:bidi="ar"/>
        </w:rPr>
        <w:t xml:space="preserve">also </w:t>
      </w:r>
      <w:r>
        <w:rPr>
          <w:rFonts w:hint="default" w:ascii="Tw Cen MT" w:hAnsi="Tw Cen MT" w:eastAsia="Tw Cen MT" w:cs="Tw Cen MT"/>
          <w:color w:val="auto"/>
          <w:kern w:val="0"/>
          <w:sz w:val="18"/>
          <w:szCs w:val="18"/>
          <w:lang w:val="en-US" w:eastAsia="zh-CN" w:bidi="ar"/>
        </w:rPr>
        <w:t xml:space="preserve">inhibited &gt;50 % </w:t>
      </w:r>
      <w:r>
        <w:rPr>
          <w:rFonts w:hint="default" w:cs="Tw Cen MT"/>
          <w:color w:val="auto"/>
          <w:kern w:val="0"/>
          <w:sz w:val="18"/>
          <w:szCs w:val="18"/>
          <w:lang w:val="en-US" w:eastAsia="zh-CN" w:bidi="ar"/>
        </w:rPr>
        <w:t>amoeba</w:t>
      </w:r>
      <w:r>
        <w:rPr>
          <w:rFonts w:hint="default" w:ascii="Tw Cen MT" w:hAnsi="Tw Cen MT" w:eastAsia="Tw Cen MT" w:cs="Tw Cen MT"/>
          <w:color w:val="auto"/>
          <w:kern w:val="0"/>
          <w:sz w:val="18"/>
          <w:szCs w:val="18"/>
          <w:lang w:val="en-US" w:eastAsia="zh-CN" w:bidi="ar"/>
        </w:rPr>
        <w:t xml:space="preserve"> numbers</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up to 7 days</w:t>
      </w:r>
      <w:r>
        <w:rPr>
          <w:rFonts w:hint="default" w:cs="Tw Cen MT"/>
          <w:color w:val="auto"/>
          <w:kern w:val="0"/>
          <w:sz w:val="18"/>
          <w:szCs w:val="18"/>
          <w:lang w:val="en-US" w:eastAsia="zh-CN" w:bidi="ar"/>
        </w:rPr>
        <w:t xml:space="preserve"> during </w:t>
      </w:r>
      <w:r>
        <w:rPr>
          <w:rFonts w:hint="default" w:ascii="Tw Cen MT" w:hAnsi="Tw Cen MT" w:eastAsia="Tw Cen MT" w:cs="Tw Cen MT"/>
          <w:color w:val="auto"/>
          <w:kern w:val="0"/>
          <w:sz w:val="18"/>
          <w:szCs w:val="18"/>
          <w:lang w:val="en-US" w:eastAsia="zh-CN" w:bidi="ar"/>
        </w:rPr>
        <w:t xml:space="preserve">growth assay. </w:t>
      </w:r>
      <w:r>
        <w:rPr>
          <w:rFonts w:hint="default" w:cs="Tw Cen MT"/>
          <w:color w:val="auto"/>
          <w:kern w:val="0"/>
          <w:sz w:val="18"/>
          <w:szCs w:val="18"/>
          <w:lang w:val="en-US" w:eastAsia="zh-CN" w:bidi="ar"/>
        </w:rPr>
        <w:t>Furthermore,</w:t>
      </w:r>
      <w:r>
        <w:rPr>
          <w:rFonts w:hint="default" w:ascii="Tw Cen MT" w:hAnsi="Tw Cen MT" w:eastAsia="Tw Cen MT" w:cs="Tw Cen MT"/>
          <w:color w:val="auto"/>
          <w:kern w:val="0"/>
          <w:sz w:val="18"/>
          <w:szCs w:val="18"/>
          <w:lang w:val="en-US" w:eastAsia="zh-CN" w:bidi="ar"/>
        </w:rPr>
        <w:t xml:space="preserve"> </w:t>
      </w:r>
      <w:r>
        <w:rPr>
          <w:rFonts w:hint="default" w:cs="Tw Cen MT"/>
          <w:color w:val="auto"/>
          <w:kern w:val="0"/>
          <w:sz w:val="18"/>
          <w:szCs w:val="18"/>
          <w:lang w:val="en-US" w:eastAsia="zh-CN" w:bidi="ar"/>
        </w:rPr>
        <w:t>plant</w:t>
      </w:r>
      <w:r>
        <w:rPr>
          <w:rFonts w:hint="default" w:ascii="Tw Cen MT" w:hAnsi="Tw Cen MT" w:eastAsia="Tw Cen MT" w:cs="Tw Cen MT"/>
          <w:color w:val="auto"/>
          <w:kern w:val="0"/>
          <w:sz w:val="18"/>
          <w:szCs w:val="18"/>
          <w:lang w:val="en-US" w:eastAsia="zh-CN" w:bidi="ar"/>
        </w:rPr>
        <w:t xml:space="preserve"> extracts (1 to 30mg/ml) exhibited amoebicidal effects against Acanthamoeba cysts. Furthermore Acanthamoeba encystment was also inhibited in concentration dependent manner with maximum inhibition at 2µg/ml after 48h.</w:t>
      </w:r>
      <w:r>
        <w:rPr>
          <w:rFonts w:hint="default" w:cs="Tw Cen MT"/>
          <w:color w:val="auto"/>
          <w:kern w:val="0"/>
          <w:sz w:val="18"/>
          <w:szCs w:val="18"/>
          <w:lang w:val="en-US" w:eastAsia="zh-CN" w:bidi="ar"/>
        </w:rPr>
        <w:t xml:space="preserve"> Among all </w:t>
      </w:r>
      <w:r>
        <w:rPr>
          <w:rFonts w:hint="default" w:ascii="Tw Cen MT" w:hAnsi="Tw Cen MT" w:eastAsia="Tw Cen MT" w:cs="Tw Cen MT"/>
          <w:i/>
          <w:color w:val="auto"/>
          <w:kern w:val="0"/>
          <w:sz w:val="18"/>
          <w:szCs w:val="18"/>
          <w:lang w:val="en-US" w:eastAsia="zh-CN" w:bidi="ar"/>
        </w:rPr>
        <w:t xml:space="preserve">Peganum harmala </w:t>
      </w:r>
      <w:r>
        <w:rPr>
          <w:rFonts w:hint="default" w:cs="Tw Cen MT"/>
          <w:i w:val="0"/>
          <w:iCs/>
          <w:color w:val="auto"/>
          <w:kern w:val="0"/>
          <w:sz w:val="18"/>
          <w:szCs w:val="18"/>
          <w:lang w:val="en-US" w:eastAsia="zh-CN" w:bidi="ar"/>
        </w:rPr>
        <w:t>seed extratcs showed optimal activity against amoeba</w:t>
      </w:r>
      <w:r>
        <w:rPr>
          <w:rFonts w:hint="default" w:ascii="Tw Cen MT" w:hAnsi="Tw Cen MT" w:eastAsia="Tw Cen MT" w:cs="Tw Cen MT"/>
          <w:color w:val="auto"/>
          <w:kern w:val="0"/>
          <w:sz w:val="18"/>
          <w:szCs w:val="18"/>
          <w:lang w:val="en-US" w:eastAsia="zh-CN" w:bidi="ar"/>
        </w:rPr>
        <w:t>.</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 xml:space="preserve">Our results confirmed that extracts has </w:t>
      </w:r>
      <w:r>
        <w:rPr>
          <w:rFonts w:hint="default" w:cs="Tw Cen MT"/>
          <w:color w:val="auto"/>
          <w:kern w:val="0"/>
          <w:sz w:val="18"/>
          <w:szCs w:val="18"/>
          <w:lang w:val="en-US" w:eastAsia="zh-CN" w:bidi="ar"/>
        </w:rPr>
        <w:t>toxic effects against both cysts and trophozoite</w:t>
      </w:r>
      <w:r>
        <w:rPr>
          <w:rFonts w:hint="default" w:ascii="Tw Cen MT" w:hAnsi="Tw Cen MT" w:eastAsia="Tw Cen MT" w:cs="Tw Cen MT"/>
          <w:color w:val="auto"/>
          <w:kern w:val="0"/>
          <w:sz w:val="18"/>
          <w:szCs w:val="18"/>
          <w:lang w:val="en-US" w:eastAsia="zh-CN" w:bidi="ar"/>
        </w:rPr>
        <w:t xml:space="preserve">. </w:t>
      </w:r>
      <w:r>
        <w:rPr>
          <w:color w:val="auto"/>
          <w:sz w:val="18"/>
          <w:szCs w:val="18"/>
        </w:rPr>
        <w:t xml:space="preserve">Conclusion &amp; Significance: </w:t>
      </w:r>
      <w:r>
        <w:rPr>
          <w:rFonts w:hint="default" w:ascii="Tw Cen MT" w:hAnsi="Tw Cen MT" w:eastAsia="Times New Roman" w:cs="Times New Roman"/>
          <w:color w:val="auto"/>
          <w:sz w:val="18"/>
          <w:szCs w:val="18"/>
          <w:lang w:val="en-US" w:eastAsia="en-US" w:bidi="ar"/>
        </w:rPr>
        <w:t>Overall,</w:t>
      </w:r>
      <w:r>
        <w:rPr>
          <w:rFonts w:hint="default" w:eastAsia="Times New Roman" w:cs="Times New Roman"/>
          <w:color w:val="auto"/>
          <w:sz w:val="18"/>
          <w:szCs w:val="18"/>
          <w:lang w:val="en-US" w:eastAsia="en-US" w:bidi="ar"/>
        </w:rPr>
        <w:t xml:space="preserve"> we reported </w:t>
      </w:r>
      <w:r>
        <w:rPr>
          <w:rFonts w:hint="default" w:ascii="Tw Cen MT" w:hAnsi="Tw Cen MT" w:eastAsia="Times New Roman" w:cs="Times New Roman"/>
          <w:color w:val="auto"/>
          <w:sz w:val="18"/>
          <w:szCs w:val="18"/>
          <w:lang w:val="en-US" w:eastAsia="en-US" w:bidi="ar"/>
        </w:rPr>
        <w:t xml:space="preserve">for the first time that </w:t>
      </w:r>
      <w:r>
        <w:rPr>
          <w:rFonts w:hint="default" w:eastAsia="Times New Roman" w:cs="Times New Roman"/>
          <w:color w:val="auto"/>
          <w:sz w:val="18"/>
          <w:szCs w:val="18"/>
          <w:lang w:val="en-US" w:eastAsia="en-US" w:bidi="ar"/>
        </w:rPr>
        <w:t xml:space="preserve">selested plant </w:t>
      </w:r>
      <w:r>
        <w:rPr>
          <w:rFonts w:hint="default" w:ascii="Tw Cen MT" w:hAnsi="Tw Cen MT" w:eastAsia="Times New Roman" w:cs="Times New Roman"/>
          <w:color w:val="auto"/>
          <w:sz w:val="18"/>
          <w:szCs w:val="18"/>
          <w:lang w:val="en-US" w:eastAsia="en-US" w:bidi="ar"/>
        </w:rPr>
        <w:t>extracts exhibit</w:t>
      </w:r>
      <w:r>
        <w:rPr>
          <w:rFonts w:hint="default" w:eastAsia="Times New Roman" w:cs="Times New Roman"/>
          <w:color w:val="auto"/>
          <w:sz w:val="18"/>
          <w:szCs w:val="18"/>
          <w:lang w:val="en-US" w:eastAsia="en-US" w:bidi="ar"/>
        </w:rPr>
        <w:t>ed</w:t>
      </w:r>
      <w:r>
        <w:rPr>
          <w:rFonts w:hint="default" w:ascii="Tw Cen MT" w:hAnsi="Tw Cen MT" w:eastAsia="Times New Roman" w:cs="Times New Roman"/>
          <w:color w:val="auto"/>
          <w:sz w:val="18"/>
          <w:szCs w:val="18"/>
          <w:lang w:val="en-US" w:eastAsia="en-US" w:bidi="ar"/>
        </w:rPr>
        <w:t xml:space="preserve"> inhibitory effects on biological properties of Acanthamoeba without any toxic effects on HCEC cells in vitro.</w:t>
      </w:r>
      <w:r>
        <w:rPr>
          <w:rFonts w:hint="default" w:eastAsia="Times New Roman" w:cs="Times New Roman"/>
          <w:color w:val="auto"/>
          <w:sz w:val="18"/>
          <w:szCs w:val="18"/>
          <w:lang w:val="en-US" w:eastAsia="en-US" w:bidi="ar"/>
        </w:rPr>
        <w:t xml:space="preserve"> </w:t>
      </w:r>
      <w:r>
        <w:rPr>
          <w:color w:val="auto"/>
          <w:sz w:val="18"/>
          <w:szCs w:val="18"/>
        </w:rPr>
        <w:t>Recommendations</w:t>
      </w:r>
      <w:r>
        <w:rPr>
          <w:color w:val="auto"/>
          <w:sz w:val="18"/>
          <w:szCs w:val="18"/>
          <w:lang w:val="en-US"/>
        </w:rPr>
        <w:t>:</w:t>
      </w:r>
      <w:r>
        <w:rPr>
          <w:color w:val="auto"/>
          <w:sz w:val="18"/>
          <w:szCs w:val="18"/>
        </w:rPr>
        <w:t xml:space="preserve"> </w:t>
      </w:r>
      <w:r>
        <w:rPr>
          <w:color w:val="auto"/>
          <w:sz w:val="18"/>
          <w:szCs w:val="18"/>
          <w:lang w:val="en-US"/>
        </w:rPr>
        <w:t>F</w:t>
      </w:r>
      <w:r>
        <w:rPr>
          <w:rFonts w:hint="default" w:ascii="Tw Cen MT" w:hAnsi="Tw Cen MT" w:eastAsia="Batang" w:cs="Tw Cen MT"/>
          <w:color w:val="auto"/>
          <w:kern w:val="0"/>
          <w:sz w:val="18"/>
          <w:szCs w:val="18"/>
          <w:lang w:val="en-US" w:eastAsia="zh-CN" w:bidi="ar"/>
        </w:rPr>
        <w:t xml:space="preserve">urther experiments </w:t>
      </w:r>
      <w:r>
        <w:rPr>
          <w:rFonts w:hint="default" w:eastAsia="Batang" w:cs="Tw Cen MT"/>
          <w:color w:val="auto"/>
          <w:kern w:val="0"/>
          <w:sz w:val="18"/>
          <w:szCs w:val="18"/>
          <w:lang w:val="en-US" w:eastAsia="zh-CN" w:bidi="ar"/>
        </w:rPr>
        <w:t xml:space="preserve">are required </w:t>
      </w:r>
      <w:r>
        <w:rPr>
          <w:rFonts w:hint="default" w:ascii="Tw Cen MT" w:hAnsi="Tw Cen MT" w:eastAsia="Batang" w:cs="Tw Cen MT"/>
          <w:color w:val="auto"/>
          <w:kern w:val="0"/>
          <w:sz w:val="18"/>
          <w:szCs w:val="18"/>
          <w:lang w:val="en-US" w:eastAsia="zh-CN" w:bidi="ar"/>
        </w:rPr>
        <w:t>with</w:t>
      </w:r>
      <w:r>
        <w:rPr>
          <w:rFonts w:hint="default" w:ascii="Tw Cen MT" w:hAnsi="Tw Cen MT" w:eastAsia="Tw Cen MT" w:cs="Tw Cen MT"/>
          <w:color w:val="auto"/>
          <w:kern w:val="0"/>
          <w:sz w:val="18"/>
          <w:szCs w:val="18"/>
          <w:lang w:val="en-US" w:eastAsia="zh-CN" w:bidi="ar"/>
        </w:rPr>
        <w:t xml:space="preserve"> purified fractions of plant extracts to identify the active ingredients and to elucidate the mechanism of action of the effective compounds both </w:t>
      </w:r>
      <w:r>
        <w:rPr>
          <w:rFonts w:hint="default" w:ascii="Tw Cen MT" w:hAnsi="Tw Cen MT" w:eastAsia="Tw Cen MT" w:cs="Tw Cen MT"/>
          <w:i/>
          <w:color w:val="auto"/>
          <w:kern w:val="0"/>
          <w:sz w:val="18"/>
          <w:szCs w:val="18"/>
          <w:lang w:val="en-US" w:eastAsia="zh-CN" w:bidi="ar"/>
        </w:rPr>
        <w:t>in vitro</w:t>
      </w:r>
      <w:r>
        <w:rPr>
          <w:rFonts w:hint="default" w:ascii="Tw Cen MT" w:hAnsi="Tw Cen MT" w:eastAsia="Tw Cen MT" w:cs="Tw Cen MT"/>
          <w:color w:val="auto"/>
          <w:kern w:val="0"/>
          <w:sz w:val="18"/>
          <w:szCs w:val="18"/>
          <w:lang w:val="en-US" w:eastAsia="zh-CN" w:bidi="ar"/>
        </w:rPr>
        <w:t xml:space="preserve"> and </w:t>
      </w:r>
      <w:r>
        <w:rPr>
          <w:rFonts w:hint="default" w:ascii="Tw Cen MT" w:hAnsi="Tw Cen MT" w:eastAsia="Tw Cen MT" w:cs="Tw Cen MT"/>
          <w:i/>
          <w:color w:val="auto"/>
          <w:kern w:val="0"/>
          <w:sz w:val="18"/>
          <w:szCs w:val="18"/>
          <w:lang w:val="en-US" w:eastAsia="zh-CN" w:bidi="ar"/>
        </w:rPr>
        <w:t xml:space="preserve">in vivo </w:t>
      </w:r>
      <w:r>
        <w:rPr>
          <w:rFonts w:hint="default" w:ascii="Tw Cen MT" w:hAnsi="Tw Cen MT" w:eastAsia="Tw Cen MT" w:cs="Tw Cen MT"/>
          <w:color w:val="auto"/>
          <w:kern w:val="0"/>
          <w:sz w:val="18"/>
          <w:szCs w:val="18"/>
          <w:lang w:val="en-US" w:eastAsia="zh-CN" w:bidi="ar"/>
        </w:rPr>
        <w:t>which may</w:t>
      </w:r>
      <w:r>
        <w:rPr>
          <w:rFonts w:hint="default" w:cs="Tw Cen MT"/>
          <w:color w:val="auto"/>
          <w:kern w:val="0"/>
          <w:sz w:val="18"/>
          <w:szCs w:val="18"/>
          <w:lang w:val="en-US" w:eastAsia="zh-CN" w:bidi="ar"/>
        </w:rPr>
        <w:t xml:space="preserve"> </w:t>
      </w:r>
      <w:r>
        <w:rPr>
          <w:rFonts w:hint="default" w:ascii="Tw Cen MT" w:hAnsi="Tw Cen MT" w:eastAsia="Tw Cen MT" w:cs="Tw Cen MT"/>
          <w:color w:val="auto"/>
          <w:kern w:val="0"/>
          <w:sz w:val="18"/>
          <w:szCs w:val="18"/>
          <w:lang w:val="en-US" w:eastAsia="zh-CN" w:bidi="ar"/>
        </w:rPr>
        <w:t>provide a new series of chemotherapeutic agents.</w:t>
      </w: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b w:val="0"/>
        </w:rPr>
      </w:pPr>
    </w:p>
    <w:p>
      <w:pPr>
        <w:pStyle w:val="4"/>
        <w:spacing w:before="74"/>
        <w:ind w:left="0" w:leftChars="0" w:firstLine="0" w:firstLineChars="0"/>
        <w:rPr>
          <w:rFonts w:ascii="Arial"/>
          <w:b/>
          <w:sz w:val="16"/>
          <w:lang w:val="en-US"/>
        </w:rPr>
      </w:pPr>
      <w:r>
        <w:rPr>
          <w:b w:val="0"/>
        </w:rPr>
        <w:br w:type="column"/>
      </w:r>
      <w:r>
        <w:drawing>
          <wp:inline distT="0" distB="0" distL="114300" distR="114300">
            <wp:extent cx="3429000" cy="198120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pic:cNvPicPr>
                      <a:picLocks noChangeAspect="1"/>
                    </pic:cNvPicPr>
                  </pic:nvPicPr>
                  <pic:blipFill>
                    <a:blip r:embed="rId6"/>
                    <a:stretch>
                      <a:fillRect/>
                    </a:stretch>
                  </pic:blipFill>
                  <pic:spPr>
                    <a:xfrm>
                      <a:off x="0" y="0"/>
                      <a:ext cx="3429000" cy="1981200"/>
                    </a:xfrm>
                    <a:prstGeom prst="rect">
                      <a:avLst/>
                    </a:prstGeom>
                    <a:noFill/>
                    <a:ln w="9525">
                      <a:noFill/>
                    </a:ln>
                  </pic:spPr>
                </pic:pic>
              </a:graphicData>
            </a:graphic>
          </wp:inline>
        </w:drawing>
      </w:r>
    </w:p>
    <w:p>
      <w:pPr>
        <w:pStyle w:val="6"/>
        <w:spacing w:before="2"/>
        <w:rPr>
          <w:rFonts w:ascii="Arial"/>
          <w:b/>
          <w:sz w:val="16"/>
        </w:rPr>
      </w:pPr>
    </w:p>
    <w:p>
      <w:pPr>
        <w:pStyle w:val="6"/>
        <w:spacing w:before="2"/>
        <w:jc w:val="both"/>
        <w:rPr>
          <w:rFonts w:ascii="Arial"/>
          <w:b w:val="0"/>
          <w:bCs/>
          <w:sz w:val="15"/>
          <w:szCs w:val="15"/>
          <w:lang w:val="en-US"/>
        </w:rPr>
      </w:pPr>
      <w:r>
        <w:rPr>
          <w:rFonts w:ascii="Arial"/>
          <w:b/>
          <w:bCs w:val="0"/>
          <w:sz w:val="15"/>
          <w:szCs w:val="15"/>
          <w:lang w:val="en-US"/>
        </w:rPr>
        <w:t xml:space="preserve">Figure 1: </w:t>
      </w:r>
      <w:r>
        <w:rPr>
          <w:rFonts w:ascii="Arial"/>
          <w:b w:val="0"/>
          <w:bCs/>
          <w:sz w:val="15"/>
          <w:szCs w:val="15"/>
          <w:lang w:val="en-US"/>
        </w:rPr>
        <w:t>Use of folk plants extract on Acanthamoeba in the presence of human corneal epithelial cells (HCEC) in vitro. Methanolic extracts showed very promising activity against Acanthamoeba wthout harming HCEC cells.</w:t>
      </w:r>
    </w:p>
    <w:p>
      <w:pPr>
        <w:spacing w:line="204" w:lineRule="exact"/>
        <w:rPr>
          <w:rFonts w:ascii="Arial"/>
          <w:b/>
          <w:sz w:val="20"/>
        </w:rPr>
      </w:pPr>
      <w:r>
        <w:rPr>
          <w:rFonts w:ascii="Arial"/>
          <w:b/>
          <w:color w:val="BF5A14"/>
          <w:sz w:val="20"/>
        </w:rPr>
        <w:br w:type="textWrapping"/>
      </w:r>
      <w:r>
        <w:rPr>
          <w:rFonts w:ascii="Arial"/>
          <w:b/>
          <w:color w:val="BF5A14"/>
          <w:sz w:val="20"/>
        </w:rPr>
        <w:t>Recent Publications</w:t>
      </w:r>
      <w:r>
        <w:rPr>
          <w:rFonts w:ascii="Arial"/>
          <w:b/>
          <w:color w:val="BF5A14"/>
          <w:sz w:val="20"/>
          <w:lang w:val="en-US"/>
        </w:rPr>
        <w:t>:</w:t>
      </w:r>
    </w:p>
    <w:p>
      <w:pPr>
        <w:pStyle w:val="13"/>
        <w:numPr>
          <w:ilvl w:val="0"/>
          <w:numId w:val="1"/>
        </w:numPr>
        <w:tabs>
          <w:tab w:val="left" w:pos="384"/>
        </w:tabs>
        <w:spacing w:before="103" w:line="216" w:lineRule="exact"/>
        <w:ind w:right="138" w:hanging="283"/>
        <w:rPr>
          <w:rFonts w:hint="default" w:ascii="Tw Cen MT" w:hAnsi="Tw Cen MT" w:eastAsia="Tw Cen MT" w:cs="Tw Cen MT"/>
          <w:color w:val="000000"/>
          <w:sz w:val="18"/>
          <w:szCs w:val="18"/>
          <w:lang w:val="en-US"/>
        </w:rPr>
      </w:pPr>
      <w:r>
        <w:rPr>
          <w:rFonts w:hint="default" w:ascii="Tw Cen MT" w:hAnsi="Tw Cen MT" w:eastAsia="Batang" w:cs="Tw Cen MT"/>
          <w:color w:val="000000"/>
          <w:kern w:val="0"/>
          <w:sz w:val="18"/>
          <w:szCs w:val="18"/>
          <w:lang w:val="en-US" w:eastAsia="zh-CN" w:bidi="ar"/>
        </w:rPr>
        <w:t xml:space="preserve">Arshad N, Zitterl-Eglseer K, Hasnain S, Hess M (2008) Effect of </w:t>
      </w:r>
      <w:r>
        <w:rPr>
          <w:rFonts w:hint="default" w:ascii="Tw Cen MT" w:hAnsi="Tw Cen MT" w:eastAsia="Batang" w:cs="Tw Cen MT"/>
          <w:i/>
          <w:color w:val="000000"/>
          <w:kern w:val="0"/>
          <w:sz w:val="18"/>
          <w:szCs w:val="18"/>
          <w:lang w:val="en-US" w:eastAsia="zh-CN" w:bidi="ar"/>
        </w:rPr>
        <w:t xml:space="preserve">Peganum harmala </w:t>
      </w:r>
      <w:r>
        <w:rPr>
          <w:rFonts w:hint="default" w:ascii="Tw Cen MT" w:hAnsi="Tw Cen MT" w:eastAsia="Batang" w:cs="Tw Cen MT"/>
          <w:color w:val="000000"/>
          <w:kern w:val="0"/>
          <w:sz w:val="18"/>
          <w:szCs w:val="18"/>
          <w:lang w:val="en-US" w:eastAsia="zh-CN" w:bidi="ar"/>
        </w:rPr>
        <w:t>or its ß-Carboline Alkaloids on Certain Antibiotic Resistant Strains of Bacteria and Protozoa from Poultry. Phyto. Res. DOI: 10.1002/ptr.2528.</w:t>
      </w:r>
    </w:p>
    <w:p>
      <w:pPr>
        <w:pStyle w:val="13"/>
        <w:numPr>
          <w:ilvl w:val="0"/>
          <w:numId w:val="1"/>
        </w:numPr>
        <w:tabs>
          <w:tab w:val="left" w:pos="384"/>
        </w:tabs>
        <w:spacing w:before="103" w:line="216" w:lineRule="exact"/>
        <w:ind w:right="138" w:hanging="283"/>
        <w:rPr>
          <w:rFonts w:hint="default" w:ascii="Tw Cen MT" w:hAnsi="Tw Cen MT" w:eastAsia="Tw Cen MT" w:cs="Arial"/>
          <w:i/>
          <w:iCs w:val="0"/>
          <w:color w:val="000000"/>
          <w:sz w:val="18"/>
          <w:szCs w:val="18"/>
          <w:vertAlign w:val="baseline"/>
          <w:lang w:val="en-US"/>
        </w:rPr>
      </w:pPr>
      <w:r>
        <w:rPr>
          <w:rFonts w:hint="default" w:ascii="Tw Cen MT" w:hAnsi="Tw Cen MT" w:eastAsia="Tw Cen MT" w:cs="Tw Cen MT"/>
          <w:color w:val="000000"/>
          <w:kern w:val="0"/>
          <w:sz w:val="18"/>
          <w:szCs w:val="18"/>
          <w:lang w:val="pt-BR" w:eastAsia="zh-CN" w:bidi="ar"/>
        </w:rPr>
        <w:t xml:space="preserve">Marciano-Cabral F, Cabral G </w:t>
      </w:r>
      <w:r>
        <w:rPr>
          <w:rFonts w:hint="default" w:ascii="Tw Cen MT" w:hAnsi="Tw Cen MT" w:eastAsia="Tw Cen MT" w:cs="Tw Cen MT"/>
          <w:color w:val="000000"/>
          <w:kern w:val="0"/>
          <w:sz w:val="18"/>
          <w:szCs w:val="18"/>
          <w:lang w:val="en-US" w:eastAsia="zh-CN" w:bidi="ar"/>
        </w:rPr>
        <w:t>(</w:t>
      </w:r>
      <w:r>
        <w:rPr>
          <w:rFonts w:hint="default" w:ascii="Tw Cen MT" w:hAnsi="Tw Cen MT" w:eastAsia="Tw Cen MT" w:cs="Tw Cen MT"/>
          <w:color w:val="000000"/>
          <w:kern w:val="0"/>
          <w:sz w:val="18"/>
          <w:szCs w:val="18"/>
          <w:lang w:val="pt-BR" w:eastAsia="zh-CN" w:bidi="ar"/>
        </w:rPr>
        <w:t>2003</w:t>
      </w:r>
      <w:r>
        <w:rPr>
          <w:rFonts w:hint="default" w:ascii="Tw Cen MT" w:hAnsi="Tw Cen MT" w:eastAsia="Tw Cen MT" w:cs="Tw Cen MT"/>
          <w:color w:val="000000"/>
          <w:kern w:val="0"/>
          <w:sz w:val="18"/>
          <w:szCs w:val="18"/>
          <w:lang w:val="en-US" w:eastAsia="zh-CN" w:bidi="ar"/>
        </w:rPr>
        <w:t>)</w:t>
      </w:r>
      <w:r>
        <w:rPr>
          <w:rFonts w:hint="default" w:ascii="Tw Cen MT" w:hAnsi="Tw Cen MT" w:eastAsia="Tw Cen MT" w:cs="Tw Cen MT"/>
          <w:color w:val="000000"/>
          <w:kern w:val="0"/>
          <w:sz w:val="18"/>
          <w:szCs w:val="18"/>
          <w:lang w:val="pt-BR" w:eastAsia="zh-CN" w:bidi="ar"/>
        </w:rPr>
        <w:t xml:space="preserve"> </w:t>
      </w:r>
      <w:r>
        <w:rPr>
          <w:rFonts w:hint="default" w:ascii="Tw Cen MT" w:hAnsi="Tw Cen MT" w:eastAsia="Tw Cen MT" w:cs="Tw Cen MT"/>
          <w:i/>
          <w:color w:val="000000"/>
          <w:kern w:val="0"/>
          <w:sz w:val="18"/>
          <w:szCs w:val="18"/>
          <w:lang w:val="en-US" w:eastAsia="zh-CN" w:bidi="ar"/>
        </w:rPr>
        <w:t>Acanthamoeba</w:t>
      </w:r>
      <w:r>
        <w:rPr>
          <w:rFonts w:hint="default" w:ascii="Tw Cen MT" w:hAnsi="Tw Cen MT" w:eastAsia="Tw Cen MT" w:cs="Tw Cen MT"/>
          <w:color w:val="000000"/>
          <w:kern w:val="0"/>
          <w:sz w:val="18"/>
          <w:szCs w:val="18"/>
          <w:lang w:val="en-US" w:eastAsia="zh-CN" w:bidi="ar"/>
        </w:rPr>
        <w:t xml:space="preserve"> spp. as agents of disease in humans. Clin. Microbiol. Rev. 16: 273–307.</w:t>
      </w:r>
    </w:p>
    <w:p>
      <w:pPr>
        <w:pStyle w:val="13"/>
        <w:numPr>
          <w:ilvl w:val="0"/>
          <w:numId w:val="1"/>
        </w:numPr>
        <w:tabs>
          <w:tab w:val="left" w:pos="384"/>
        </w:tabs>
        <w:spacing w:before="103" w:line="216" w:lineRule="exact"/>
        <w:ind w:right="138" w:hanging="283"/>
        <w:rPr>
          <w:rFonts w:hint="default" w:ascii="Tw Cen MT" w:hAnsi="Tw Cen MT" w:eastAsia="Tw Cen MT" w:cs="Arial"/>
          <w:i/>
          <w:iCs w:val="0"/>
          <w:color w:val="000000"/>
          <w:sz w:val="18"/>
          <w:szCs w:val="18"/>
          <w:vertAlign w:val="baseline"/>
          <w:lang w:val="en-US"/>
        </w:rPr>
      </w:pPr>
      <w:r>
        <w:rPr>
          <w:rFonts w:hint="default" w:ascii="Tw Cen MT" w:hAnsi="Tw Cen MT" w:eastAsia="Tw Cen MT" w:cs="Arial"/>
          <w:color w:val="000000"/>
          <w:kern w:val="0"/>
          <w:sz w:val="18"/>
          <w:szCs w:val="18"/>
          <w:vertAlign w:val="baseline"/>
          <w:lang w:val="en-US" w:eastAsia="zh-CN" w:bidi="ar"/>
        </w:rPr>
        <w:t xml:space="preserve">Sohaib HM, Nawaz S, and </w:t>
      </w:r>
      <w:r>
        <w:rPr>
          <w:rFonts w:hint="default" w:ascii="Tw Cen MT" w:hAnsi="Tw Cen MT" w:eastAsia="Tw Cen MT" w:cs="Arial"/>
          <w:b w:val="0"/>
          <w:bCs/>
          <w:color w:val="000000"/>
          <w:kern w:val="0"/>
          <w:sz w:val="18"/>
          <w:szCs w:val="18"/>
          <w:vertAlign w:val="baseline"/>
          <w:lang w:val="en-US" w:eastAsia="zh-CN" w:bidi="ar"/>
        </w:rPr>
        <w:t xml:space="preserve">Matin A (2016) </w:t>
      </w:r>
      <w:r>
        <w:rPr>
          <w:rFonts w:hint="default" w:ascii="Tw Cen MT" w:hAnsi="Tw Cen MT" w:eastAsia="Tw Cen MT" w:cs="Arial"/>
          <w:color w:val="000000"/>
          <w:kern w:val="0"/>
          <w:sz w:val="18"/>
          <w:szCs w:val="18"/>
          <w:vertAlign w:val="baseline"/>
          <w:lang w:val="en-US" w:eastAsia="zh-CN" w:bidi="ar"/>
        </w:rPr>
        <w:t xml:space="preserve">Methanolic extracts of </w:t>
      </w:r>
      <w:r>
        <w:rPr>
          <w:rFonts w:hint="default" w:ascii="Tw Cen MT" w:hAnsi="Tw Cen MT" w:eastAsia="Tw Cen MT" w:cs="Arial"/>
          <w:i/>
          <w:color w:val="000000"/>
          <w:kern w:val="0"/>
          <w:sz w:val="18"/>
          <w:szCs w:val="18"/>
          <w:vertAlign w:val="baseline"/>
          <w:lang w:val="en-US" w:eastAsia="zh-CN" w:bidi="ar"/>
        </w:rPr>
        <w:t xml:space="preserve">Peganum harmala </w:t>
      </w:r>
      <w:r>
        <w:rPr>
          <w:rFonts w:hint="default" w:ascii="Tw Cen MT" w:hAnsi="Tw Cen MT" w:eastAsia="Tw Cen MT" w:cs="Arial"/>
          <w:color w:val="000000"/>
          <w:kern w:val="0"/>
          <w:sz w:val="18"/>
          <w:szCs w:val="18"/>
          <w:vertAlign w:val="baseline"/>
          <w:lang w:val="en-US" w:eastAsia="zh-CN" w:bidi="ar"/>
        </w:rPr>
        <w:t xml:space="preserve">exhibit potent activity against </w:t>
      </w:r>
      <w:r>
        <w:rPr>
          <w:rFonts w:hint="default" w:ascii="Tw Cen MT" w:hAnsi="Tw Cen MT" w:eastAsia="Tw Cen MT" w:cs="Arial"/>
          <w:i/>
          <w:color w:val="000000"/>
          <w:kern w:val="0"/>
          <w:sz w:val="18"/>
          <w:szCs w:val="18"/>
          <w:vertAlign w:val="baseline"/>
          <w:lang w:val="en-US" w:eastAsia="zh-CN" w:bidi="ar"/>
        </w:rPr>
        <w:t>Acanthamoeba</w:t>
      </w:r>
      <w:r>
        <w:rPr>
          <w:rFonts w:hint="default" w:ascii="Tw Cen MT" w:hAnsi="Tw Cen MT" w:eastAsia="Tw Cen MT" w:cs="Arial"/>
          <w:color w:val="000000"/>
          <w:kern w:val="0"/>
          <w:sz w:val="18"/>
          <w:szCs w:val="18"/>
          <w:vertAlign w:val="baseline"/>
          <w:lang w:val="en-US" w:eastAsia="zh-CN" w:bidi="ar"/>
        </w:rPr>
        <w:t xml:space="preserve"> </w:t>
      </w:r>
      <w:r>
        <w:rPr>
          <w:rFonts w:hint="default" w:ascii="Tw Cen MT" w:hAnsi="Tw Cen MT" w:eastAsia="Tw Cen MT" w:cs="Arial"/>
          <w:i/>
          <w:color w:val="000000"/>
          <w:kern w:val="0"/>
          <w:sz w:val="18"/>
          <w:szCs w:val="18"/>
          <w:vertAlign w:val="baseline"/>
          <w:lang w:val="en-US" w:eastAsia="zh-CN" w:bidi="ar"/>
        </w:rPr>
        <w:t>castellanii</w:t>
      </w:r>
      <w:r>
        <w:rPr>
          <w:rFonts w:hint="default" w:ascii="Tw Cen MT" w:hAnsi="Tw Cen MT" w:eastAsia="Tw Cen MT" w:cs="Arial"/>
          <w:color w:val="000000"/>
          <w:kern w:val="0"/>
          <w:sz w:val="18"/>
          <w:szCs w:val="18"/>
          <w:vertAlign w:val="baseline"/>
          <w:lang w:val="en-US" w:eastAsia="zh-CN" w:bidi="ar"/>
        </w:rPr>
        <w:t xml:space="preserve"> cysts and its encystment </w:t>
      </w:r>
      <w:r>
        <w:rPr>
          <w:rFonts w:hint="default" w:ascii="Tw Cen MT" w:hAnsi="Tw Cen MT" w:eastAsia="Tw Cen MT" w:cs="Arial"/>
          <w:i/>
          <w:color w:val="000000"/>
          <w:kern w:val="0"/>
          <w:sz w:val="18"/>
          <w:szCs w:val="18"/>
          <w:vertAlign w:val="baseline"/>
          <w:lang w:val="en-US" w:eastAsia="zh-CN" w:bidi="ar"/>
        </w:rPr>
        <w:t xml:space="preserve">in vitro. </w:t>
      </w:r>
      <w:r>
        <w:rPr>
          <w:rFonts w:hint="default" w:ascii="Tw Cen MT" w:hAnsi="Tw Cen MT" w:eastAsia="Tw Cen MT" w:cs="Arial"/>
          <w:i w:val="0"/>
          <w:iCs/>
          <w:color w:val="000000"/>
          <w:kern w:val="0"/>
          <w:sz w:val="18"/>
          <w:szCs w:val="18"/>
          <w:vertAlign w:val="baseline"/>
          <w:lang w:val="en-US" w:eastAsia="zh-CN" w:bidi="ar"/>
        </w:rPr>
        <w:t xml:space="preserve">Pakistan Journal of Pharmaceutical Sciences </w:t>
      </w:r>
      <w:r>
        <w:rPr>
          <w:rFonts w:hint="default" w:ascii="Tw Cen MT" w:hAnsi="Tw Cen MT" w:eastAsia="Tw Cen MT" w:cs="Arial"/>
          <w:color w:val="000000"/>
          <w:kern w:val="0"/>
          <w:sz w:val="18"/>
          <w:szCs w:val="18"/>
          <w:vertAlign w:val="baseline"/>
          <w:lang w:val="en-US" w:eastAsia="zh-CN" w:bidi="ar"/>
        </w:rPr>
        <w:t>29(6):1993-1996</w:t>
      </w:r>
      <w:r>
        <w:rPr>
          <w:rFonts w:hint="default" w:ascii="Tw Cen MT" w:hAnsi="Tw Cen MT" w:eastAsia="Tw Cen MT" w:cs="Arial"/>
          <w:color w:val="FF0000"/>
          <w:kern w:val="0"/>
          <w:sz w:val="18"/>
          <w:szCs w:val="18"/>
          <w:vertAlign w:val="baseline"/>
          <w:lang w:val="en-US" w:eastAsia="zh-CN" w:bidi="ar"/>
        </w:rPr>
        <w:t>.</w:t>
      </w:r>
    </w:p>
    <w:p>
      <w:pPr>
        <w:pStyle w:val="13"/>
        <w:numPr>
          <w:ilvl w:val="0"/>
          <w:numId w:val="1"/>
        </w:numPr>
        <w:tabs>
          <w:tab w:val="left" w:pos="384"/>
        </w:tabs>
        <w:spacing w:before="103" w:line="216" w:lineRule="exact"/>
        <w:ind w:right="138" w:hanging="283"/>
        <w:rPr>
          <w:rFonts w:hint="default" w:ascii="Tw Cen MT" w:hAnsi="Tw Cen MT" w:eastAsia="Tw Cen MT" w:cs="Tw Cen MT"/>
          <w:color w:val="000000"/>
          <w:sz w:val="18"/>
          <w:szCs w:val="18"/>
          <w:lang w:val="en-US"/>
        </w:rPr>
      </w:pPr>
      <w:r>
        <w:rPr>
          <w:rFonts w:hint="default" w:ascii="Tw Cen MT" w:hAnsi="Tw Cen MT" w:eastAsia="Tw Cen MT" w:cs="Tw Cen MT"/>
          <w:color w:val="000000"/>
          <w:kern w:val="0"/>
          <w:sz w:val="18"/>
          <w:szCs w:val="18"/>
          <w:lang w:val="en-US" w:eastAsia="zh-CN" w:bidi="ar"/>
        </w:rPr>
        <w:t>Shoaib HM,  Muazzam AG, Mir A, Jung SY, Matin A. Evaluation of inhibitory potential of some selective methanolic  plants extracts on biological characteristics of Acanthamoeba castellanii using human corneal epithelial cells in vitro. 2012. Parasitol Res.</w:t>
      </w:r>
    </w:p>
    <w:p>
      <w:pPr>
        <w:pStyle w:val="13"/>
        <w:numPr>
          <w:ilvl w:val="0"/>
          <w:numId w:val="1"/>
        </w:numPr>
        <w:tabs>
          <w:tab w:val="left" w:pos="384"/>
        </w:tabs>
        <w:spacing w:before="103" w:line="216" w:lineRule="exact"/>
        <w:ind w:right="138" w:hanging="283"/>
        <w:rPr>
          <w:rFonts w:ascii="Calibri" w:hAnsi="Calibri"/>
        </w:rPr>
        <w:sectPr>
          <w:type w:val="continuous"/>
          <w:pgSz w:w="11910" w:h="16840"/>
          <w:pgMar w:top="1740" w:right="600" w:bottom="840" w:left="620" w:header="720" w:footer="720" w:gutter="0"/>
          <w:cols w:equalWidth="0" w:num="2">
            <w:col w:w="5214" w:space="138"/>
            <w:col w:w="5338"/>
          </w:cols>
        </w:sectPr>
      </w:pPr>
      <w:r>
        <w:rPr>
          <w:rFonts w:hint="default" w:ascii="Tw Cen MT" w:hAnsi="Tw Cen MT" w:eastAsia="Tw Cen MT" w:cs="Tw Cen MT"/>
          <w:color w:val="000000"/>
          <w:kern w:val="0"/>
          <w:sz w:val="18"/>
          <w:szCs w:val="18"/>
          <w:lang w:val="en-US" w:eastAsia="zh-CN" w:bidi="ar"/>
        </w:rPr>
        <w:t xml:space="preserve">Visvesvara GS, Moura H, Schuster FL (2007) Pathogenic and opportunistic free-livingamoebae: Acanthamoeba spp., </w:t>
      </w:r>
      <w:r>
        <w:rPr>
          <w:rFonts w:hint="default" w:ascii="Tw Cen MT" w:hAnsi="Tw Cen MT" w:eastAsia="Tw Cen MT" w:cs="Tw Cen MT"/>
          <w:i/>
          <w:color w:val="000000"/>
          <w:kern w:val="0"/>
          <w:sz w:val="18"/>
          <w:szCs w:val="18"/>
          <w:lang w:val="en-US" w:eastAsia="zh-CN" w:bidi="ar"/>
        </w:rPr>
        <w:t>Balamuthia mandrillaris</w:t>
      </w:r>
      <w:r>
        <w:rPr>
          <w:rFonts w:hint="default" w:ascii="Tw Cen MT" w:hAnsi="Tw Cen MT" w:eastAsia="Tw Cen MT" w:cs="Tw Cen MT"/>
          <w:color w:val="000000"/>
          <w:kern w:val="0"/>
          <w:sz w:val="18"/>
          <w:szCs w:val="18"/>
          <w:lang w:val="en-US" w:eastAsia="zh-CN" w:bidi="ar"/>
        </w:rPr>
        <w:t xml:space="preserve">, </w:t>
      </w:r>
      <w:r>
        <w:rPr>
          <w:rFonts w:hint="default" w:ascii="Tw Cen MT" w:hAnsi="Tw Cen MT" w:eastAsia="Tw Cen MT" w:cs="Tw Cen MT"/>
          <w:i/>
          <w:color w:val="000000"/>
          <w:kern w:val="0"/>
          <w:sz w:val="18"/>
          <w:szCs w:val="18"/>
          <w:lang w:val="en-US" w:eastAsia="zh-CN" w:bidi="ar"/>
        </w:rPr>
        <w:t xml:space="preserve">Naegleria fowleri </w:t>
      </w:r>
      <w:r>
        <w:rPr>
          <w:rFonts w:hint="default" w:ascii="Tw Cen MT" w:hAnsi="Tw Cen MT" w:eastAsia="Tw Cen MT" w:cs="Tw Cen MT"/>
          <w:color w:val="000000"/>
          <w:kern w:val="0"/>
          <w:sz w:val="18"/>
          <w:szCs w:val="18"/>
          <w:lang w:val="en-US" w:eastAsia="zh-CN" w:bidi="ar"/>
        </w:rPr>
        <w:t xml:space="preserve">and </w:t>
      </w:r>
      <w:r>
        <w:rPr>
          <w:rFonts w:hint="default" w:ascii="Tw Cen MT" w:hAnsi="Tw Cen MT" w:eastAsia="Tw Cen MT" w:cs="Tw Cen MT"/>
          <w:i/>
          <w:color w:val="000000"/>
          <w:kern w:val="0"/>
          <w:sz w:val="18"/>
          <w:szCs w:val="18"/>
          <w:lang w:val="en-US" w:eastAsia="zh-CN" w:bidi="ar"/>
        </w:rPr>
        <w:t>Sappinia diploidea</w:t>
      </w:r>
      <w:r>
        <w:rPr>
          <w:rFonts w:hint="default" w:ascii="Tw Cen MT" w:hAnsi="Tw Cen MT" w:eastAsia="Tw Cen MT" w:cs="Tw Cen MT"/>
          <w:color w:val="000000"/>
          <w:kern w:val="0"/>
          <w:sz w:val="18"/>
          <w:szCs w:val="18"/>
          <w:lang w:val="en-US" w:eastAsia="zh-CN" w:bidi="ar"/>
        </w:rPr>
        <w:t>. FEMS Immunol. Med. Microbiol. 50: 1-26.</w:t>
      </w:r>
      <w:r>
        <w:rPr>
          <w:rFonts w:ascii="Calibri" w:hAnsi="Calibri"/>
        </w:rPr>
        <w:t xml:space="preserve">   </w:t>
      </w:r>
    </w:p>
    <w:p>
      <w:pPr>
        <w:pStyle w:val="6"/>
        <w:rPr>
          <w:rFonts w:ascii="Calibri"/>
          <w:sz w:val="20"/>
        </w:rPr>
      </w:pPr>
    </w:p>
    <w:p>
      <w:pPr>
        <w:pStyle w:val="6"/>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drawing>
          <wp:inline distT="0" distB="0" distL="114300" distR="114300">
            <wp:extent cx="648335" cy="671195"/>
            <wp:effectExtent l="0" t="0" r="18415" b="1460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rcRect t="14095"/>
                    <a:stretch>
                      <a:fillRect/>
                    </a:stretch>
                  </pic:blipFill>
                  <pic:spPr>
                    <a:xfrm>
                      <a:off x="0" y="0"/>
                      <a:ext cx="648335" cy="671195"/>
                    </a:xfrm>
                    <a:prstGeom prst="rect">
                      <a:avLst/>
                    </a:prstGeom>
                    <a:noFill/>
                    <a:ln w="9525">
                      <a:noFill/>
                    </a:ln>
                  </pic:spPr>
                </pic:pic>
              </a:graphicData>
            </a:graphic>
          </wp:inline>
        </w:drawing>
      </w:r>
      <w:r>
        <w:rPr>
          <w:rFonts w:ascii="Arial"/>
          <w:color w:val="BF5A14"/>
        </w:rPr>
        <w:t xml:space="preserve">Biography </w:t>
      </w:r>
    </w:p>
    <w:p>
      <w:pPr>
        <w:pStyle w:val="19"/>
        <w:widowControl/>
        <w:tabs>
          <w:tab w:val="left" w:pos="2970"/>
          <w:tab w:val="left" w:pos="7110"/>
          <w:tab w:val="left" w:pos="10255"/>
        </w:tabs>
        <w:spacing w:line="240" w:lineRule="auto"/>
        <w:ind w:right="-5"/>
        <w:jc w:val="both"/>
        <w:rPr>
          <w:rFonts w:hint="default" w:ascii="Tw Cen MT" w:hAnsi="Tw Cen MT" w:eastAsia="Tw Cen MT" w:cs="Arial"/>
          <w:color w:val="000000"/>
          <w:sz w:val="14"/>
          <w:szCs w:val="14"/>
          <w:lang w:val="en-US"/>
        </w:rPr>
      </w:pPr>
      <w:r>
        <w:rPr>
          <w:rFonts w:hint="default" w:ascii="Tw Cen MT" w:hAnsi="Tw Cen MT" w:eastAsia="Tw Cen MT" w:cs="Arial"/>
          <w:color w:val="000000"/>
          <w:sz w:val="14"/>
          <w:szCs w:val="14"/>
          <w:lang w:val="en-US"/>
        </w:rPr>
        <w:t>Our broad research interests include the epidemiology and pathogenic mechanism of emerging parasitic diseases with special interest on role of blood-brain barrier in central nervous system infections. Our aim is to understand the basic molecular mechanism of pathogenesis and pathophysiology of serious infections (i.e., encephalitis). These studies will help us to identify potential targets, which may lead to the development of therapeutic interventions. Currently, we are looking at role of the blood-brain barrier to understand how these pathogens traverse the blood-brain barrier to gain entry into the central nervous system to produce disease. Furthermore,</w:t>
      </w:r>
      <w:r>
        <w:rPr>
          <w:rStyle w:val="10"/>
          <w:rFonts w:hint="default" w:ascii="Tw Cen MT" w:hAnsi="Tw Cen MT" w:eastAsia="Tw Cen MT" w:cs="Arial"/>
          <w:color w:val="000000"/>
          <w:sz w:val="14"/>
          <w:szCs w:val="14"/>
          <w:lang w:val="en-US"/>
        </w:rPr>
        <w:t xml:space="preserve"> </w:t>
      </w:r>
      <w:r>
        <w:rPr>
          <w:rFonts w:hint="default" w:ascii="Tw Cen MT" w:hAnsi="Tw Cen MT" w:eastAsia="Tw Cen MT" w:cs="Arial"/>
          <w:color w:val="000000"/>
          <w:sz w:val="14"/>
          <w:szCs w:val="14"/>
          <w:lang w:val="en-US"/>
        </w:rPr>
        <w:t>using multi-disciplinary approach we are looking for potential novel synthesized compounds or nanoparticles or/and obtained from plants or insects to discover potential drug candidates for drug delivery system to alleviate the burden of life threatening infections. We are conducting research using state-of-the-art technologies in the field of infectious diseases.</w:t>
      </w:r>
    </w:p>
    <w:p>
      <w:pPr>
        <w:spacing w:before="62"/>
        <w:ind w:left="4217" w:right="4235"/>
        <w:jc w:val="center"/>
        <w:rPr>
          <w:rFonts w:ascii="Arial"/>
          <w:sz w:val="14"/>
        </w:rPr>
      </w:pPr>
      <w:r>
        <w:rPr>
          <w:rFonts w:ascii="Arial"/>
          <w:sz w:val="14"/>
        </w:rPr>
        <w:t xml:space="preserve">Email: </w:t>
      </w:r>
      <w:r>
        <w:rPr>
          <w:rFonts w:ascii="Arial"/>
          <w:sz w:val="14"/>
          <w:lang w:val="en-US"/>
        </w:rPr>
        <w:fldChar w:fldCharType="begin"/>
      </w:r>
      <w:r>
        <w:rPr>
          <w:rFonts w:ascii="Arial"/>
          <w:sz w:val="14"/>
          <w:lang w:val="en-US"/>
        </w:rPr>
        <w:instrText xml:space="preserve"> HYPERLINK "mailto:amawan@live.co.uk" </w:instrText>
      </w:r>
      <w:r>
        <w:rPr>
          <w:rFonts w:ascii="Arial"/>
          <w:sz w:val="14"/>
          <w:lang w:val="en-US"/>
        </w:rPr>
        <w:fldChar w:fldCharType="separate"/>
      </w:r>
      <w:r>
        <w:rPr>
          <w:rStyle w:val="11"/>
          <w:rFonts w:ascii="Arial"/>
          <w:sz w:val="14"/>
          <w:lang w:val="en-US"/>
        </w:rPr>
        <w:t>amawan@live.co.uk</w:t>
      </w:r>
      <w:r>
        <w:rPr>
          <w:rFonts w:ascii="Arial"/>
          <w:sz w:val="14"/>
          <w:lang w:val="en-US"/>
        </w:rPr>
        <w:fldChar w:fldCharType="end"/>
      </w:r>
      <w:r>
        <w:rPr>
          <w:rFonts w:ascii="Arial"/>
          <w:sz w:val="14"/>
          <w:lang w:val="en-US"/>
        </w:rPr>
        <w:t xml:space="preserve"> </w:t>
      </w:r>
    </w:p>
    <w:p>
      <w:pPr>
        <w:pStyle w:val="6"/>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6"/>
        <w:rPr>
          <w:rFonts w:ascii="Arial"/>
          <w:sz w:val="20"/>
        </w:rPr>
      </w:pPr>
    </w:p>
    <w:p>
      <w:pPr>
        <w:pStyle w:val="6"/>
        <w:rPr>
          <w:rFonts w:ascii="Arial"/>
          <w:sz w:val="20"/>
        </w:rPr>
      </w:pPr>
    </w:p>
    <w:p>
      <w:pPr>
        <w:pStyle w:val="6"/>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Verdana">
    <w:panose1 w:val="020B0604030504040204"/>
    <w:charset w:val="00"/>
    <w:family w:val="swiss"/>
    <w:pitch w:val="default"/>
    <w:sig w:usb0="A10006FF" w:usb1="4000205B" w:usb2="00000010" w:usb3="00000000" w:csb0="2000019F" w:csb1="00000000"/>
  </w:font>
  <w:font w:name="Calibri Light">
    <w:panose1 w:val="020F0302020204030204"/>
    <w:charset w:val="00"/>
    <w:family w:val="swiss"/>
    <w:pitch w:val="default"/>
    <w:sig w:usb0="E0002AFF" w:usb1="C000247B" w:usb2="00000009" w:usb3="00000000" w:csb0="200001FF" w:csb1="00000000"/>
  </w:font>
  <w:font w:name="ae_alarabiyaregular">
    <w:altName w:val="Segoe Print"/>
    <w:panose1 w:val="00000000000000000000"/>
    <w:charset w:val="00"/>
    <w:family w:val="auto"/>
    <w:pitch w:val="default"/>
    <w:sig w:usb0="00000000" w:usb1="00000000" w:usb2="00000000" w:usb3="00000000" w:csb0="00000000" w:csb1="00000000"/>
  </w:font>
  <w:font w:name="Sitka Text">
    <w:panose1 w:val="02000505000000020004"/>
    <w:charset w:val="00"/>
    <w:family w:val="auto"/>
    <w:pitch w:val="default"/>
    <w:sig w:usb0="A00002EF" w:usb1="4000204B" w:usb2="00000000" w:usb3="00000000" w:csb0="2000019F" w:csb1="00000000"/>
  </w:font>
  <w:font w:name="Tw Cen MT Condensed Extra Bold">
    <w:panose1 w:val="020B0803020202020204"/>
    <w:charset w:val="00"/>
    <w:family w:val="auto"/>
    <w:pitch w:val="default"/>
    <w:sig w:usb0="00000003" w:usb1="00000000" w:usb2="00000000" w:usb3="00000000" w:csb0="20000003" w:csb1="00000000"/>
  </w:font>
  <w:font w:name="Tw Cen MT Condensed">
    <w:panose1 w:val="020B0606020104020203"/>
    <w:charset w:val="00"/>
    <w:family w:val="auto"/>
    <w:pitch w:val="default"/>
    <w:sig w:usb0="00000003" w:usb1="00000000" w:usb2="00000000" w:usb3="00000000" w:csb0="20000003"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Batang">
    <w:altName w:val="Malgun Gothic"/>
    <w:panose1 w:val="02030600000101010101"/>
    <w:charset w:val="81"/>
    <w:family w:val="roman"/>
    <w:pitch w:val="default"/>
    <w:sig w:usb0="00000000" w:usb1="00000000" w:usb2="00000030" w:usb3="00000000" w:csb0="0008009F" w:csb1="00000000"/>
  </w:font>
  <w:font w:name="Palatino Linotype">
    <w:panose1 w:val="02040502050505030304"/>
    <w:charset w:val="00"/>
    <w:family w:val="roman"/>
    <w:pitch w:val="default"/>
    <w:sig w:usb0="E0000287" w:usb1="40000013" w:usb2="00000000" w:usb3="00000000" w:csb0="2000019F" w:csb1="00000000"/>
  </w:font>
  <w:font w:name="AdvP858B">
    <w:altName w:val="Segoe Print"/>
    <w:panose1 w:val="00000000000000000000"/>
    <w:charset w:val="00"/>
    <w:family w:val="roman"/>
    <w:pitch w:val="default"/>
    <w:sig w:usb0="00000000" w:usb1="00000000" w:usb2="00000000" w:usb3="00000000" w:csb0="00000001" w:csb1="00000000"/>
  </w:font>
  <w:font w:name="ITC Giovanni Std Book">
    <w:altName w:val="Segoe Print"/>
    <w:panose1 w:val="00000000000000000000"/>
    <w:charset w:val="00"/>
    <w:family w:val="roman"/>
    <w:pitch w:val="default"/>
    <w:sig w:usb0="00000000" w:usb1="00000000" w:usb2="00000000" w:usb3="00000000" w:csb0="00000001" w:csb1="00000000"/>
  </w:font>
  <w:font w:name="Arial Unicode MS">
    <w:altName w:val="Arial"/>
    <w:panose1 w:val="020B0604020202020204"/>
    <w:charset w:val="00"/>
    <w:family w:val="roman"/>
    <w:pitch w:val="default"/>
    <w:sig w:usb0="00000000" w:usb1="00000000" w:usb2="00000000" w:usb3="00000000" w:csb0="00000001" w:csb1="00000000"/>
  </w:font>
  <w:font w:name="AdvMinionNormal_Rm">
    <w:altName w:val="Segoe Print"/>
    <w:panose1 w:val="00000000000000000000"/>
    <w:charset w:val="00"/>
    <w:family w:val="roman"/>
    <w:pitch w:val="default"/>
    <w:sig w:usb0="00000000" w:usb1="00000000" w:usb2="00000000" w:usb3="00000000" w:csb0="00000001" w:csb1="00000000"/>
  </w:font>
  <w:font w:name="AdvP4AD05B">
    <w:altName w:val="Segoe Print"/>
    <w:panose1 w:val="00000000000000000000"/>
    <w:charset w:val="00"/>
    <w:family w:val="swiss"/>
    <w:pitch w:val="default"/>
    <w:sig w:usb0="00000000" w:usb1="00000000" w:usb2="00000000" w:usb3="00000000" w:csb0="00000001" w:csb1="00000000"/>
  </w:font>
  <w:font w:name="AdvTimes">
    <w:altName w:val="Segoe Print"/>
    <w:panose1 w:val="00000000000000000000"/>
    <w:charset w:val="00"/>
    <w:family w:val="auto"/>
    <w:pitch w:val="default"/>
    <w:sig w:usb0="00000000" w:usb1="00000000" w:usb2="00000000" w:usb3="00000000" w:csb0="00000001" w:csb1="00000000"/>
  </w:font>
  <w:font w:name="Malgun Gothic">
    <w:panose1 w:val="020B0503020000020004"/>
    <w:charset w:val="81"/>
    <w:family w:val="auto"/>
    <w:pitch w:val="default"/>
    <w:sig w:usb0="9000002F" w:usb1="29D77CFB" w:usb2="00000012" w:usb3="00000000" w:csb0="00080001" w:csb1="00000000"/>
  </w:font>
  <w:font w:name="Microsoft JhengHei UI Light">
    <w:panose1 w:val="020B0304030504040204"/>
    <w:charset w:val="88"/>
    <w:family w:val="auto"/>
    <w:pitch w:val="default"/>
    <w:sig w:usb0="800002A7" w:usb1="28CF4400" w:usb2="00000016" w:usb3="00000000" w:csb0="00100009" w:csb1="00000000"/>
  </w:font>
  <w:font w:name="Microsoft YaHei">
    <w:panose1 w:val="020B0503020204020204"/>
    <w:charset w:val="86"/>
    <w:family w:val="auto"/>
    <w:pitch w:val="default"/>
    <w:sig w:usb0="80000287" w:usb1="28CF3C50" w:usb2="00000016" w:usb3="00000000" w:csb0="0004001F" w:csb1="00000000"/>
  </w:font>
  <w:font w:name="Microsoft YaHei UI">
    <w:panose1 w:val="020B0503020204020204"/>
    <w:charset w:val="86"/>
    <w:family w:val="auto"/>
    <w:pitch w:val="default"/>
    <w:sig w:usb0="80000287" w:usb1="28CF3C50" w:usb2="00000016" w:usb3="00000000" w:csb0="0004001F" w:csb1="00000000"/>
  </w:font>
  <w:font w:name="Microsoft YaHei UI Light">
    <w:panose1 w:val="020B0502040204020203"/>
    <w:charset w:val="86"/>
    <w:family w:val="auto"/>
    <w:pitch w:val="default"/>
    <w:sig w:usb0="80000287" w:usb1="28CF0010" w:usb2="00000016" w:usb3="00000000" w:csb0="0004001F" w:csb1="00000000"/>
  </w:font>
  <w:font w:name="MingLiU-ExtB">
    <w:panose1 w:val="02020500000000000000"/>
    <w:charset w:val="88"/>
    <w:family w:val="auto"/>
    <w:pitch w:val="default"/>
    <w:sig w:usb0="8000002F" w:usb1="02000008" w:usb2="00000000" w:usb3="00000000" w:csb0="00100001" w:csb1="00000000"/>
  </w:font>
  <w:font w:name="MingLiU_HKSCS-ExtB">
    <w:panose1 w:val="02020500000000000000"/>
    <w:charset w:val="88"/>
    <w:family w:val="auto"/>
    <w:pitch w:val="default"/>
    <w:sig w:usb0="8000002F" w:usb1="02000008" w:usb2="00000000" w:usb3="00000000" w:csb0="00100001" w:csb1="00000000"/>
  </w:font>
  <w:font w:name="MS Gothic">
    <w:panose1 w:val="020B0609070205080204"/>
    <w:charset w:val="80"/>
    <w:family w:val="auto"/>
    <w:pitch w:val="default"/>
    <w:sig w:usb0="E00002FF" w:usb1="6AC7FDFB" w:usb2="08000012" w:usb3="00000000" w:csb0="4002009F" w:csb1="DFD70000"/>
  </w:font>
  <w:font w:name="MS PGothic">
    <w:panose1 w:val="020B0600070205080204"/>
    <w:charset w:val="80"/>
    <w:family w:val="auto"/>
    <w:pitch w:val="default"/>
    <w:sig w:usb0="E00002FF" w:usb1="6AC7FDFB" w:usb2="08000012" w:usb3="00000000" w:csb0="4002009F" w:csb1="DFD70000"/>
  </w:font>
  <w:font w:name="MS UI Gothic">
    <w:panose1 w:val="020B0600070205080204"/>
    <w:charset w:val="80"/>
    <w:family w:val="auto"/>
    <w:pitch w:val="default"/>
    <w:sig w:usb0="E00002FF" w:usb1="6AC7FDFB" w:usb2="08000012" w:usb3="00000000" w:csb0="4002009F" w:csb1="DFD70000"/>
  </w:font>
  <w:font w:name="NSimSun">
    <w:panose1 w:val="02010609030101010101"/>
    <w:charset w:val="86"/>
    <w:family w:val="auto"/>
    <w:pitch w:val="default"/>
    <w:sig w:usb0="00000003" w:usb1="288F0000" w:usb2="00000006" w:usb3="00000000" w:csb0="00040001" w:csb1="00000000"/>
  </w:font>
  <w:font w:name="Microsoft YaHei Light">
    <w:panose1 w:val="020B0502040204020203"/>
    <w:charset w:val="86"/>
    <w:family w:val="auto"/>
    <w:pitch w:val="default"/>
    <w:sig w:usb0="80000287" w:usb1="28CF001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 w:name="Trebuchet MS">
    <w:panose1 w:val="020B0603020202020204"/>
    <w:charset w:val="00"/>
    <w:family w:val="auto"/>
    <w:pitch w:val="default"/>
    <w:sig w:usb0="00000687" w:usb1="00000000" w:usb2="00000000" w:usb3="00000000" w:csb0="2000009F" w:csb1="00000000"/>
  </w:font>
  <w:font w:name="Webdings">
    <w:panose1 w:val="05030102010509060703"/>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Sylfaen">
    <w:panose1 w:val="010A0502050306030303"/>
    <w:charset w:val="00"/>
    <w:family w:val="auto"/>
    <w:pitch w:val="default"/>
    <w:sig w:usb0="04000687" w:usb1="00000000" w:usb2="00000000" w:usb3="00000000" w:csb0="2000009F" w:csb1="00000000"/>
  </w:font>
  <w:font w:name="Sitka Subheading">
    <w:panose1 w:val="02000505000000020004"/>
    <w:charset w:val="00"/>
    <w:family w:val="auto"/>
    <w:pitch w:val="default"/>
    <w:sig w:usb0="A00002EF" w:usb1="4000204B" w:usb2="00000000" w:usb3="00000000" w:csb0="2000019F" w:csb1="00000000"/>
  </w:font>
  <w:font w:name="Sitka Small">
    <w:panose1 w:val="02000505000000020004"/>
    <w:charset w:val="00"/>
    <w:family w:val="auto"/>
    <w:pitch w:val="default"/>
    <w:sig w:usb0="A00002EF" w:usb1="4000204B" w:usb2="00000000" w:usb3="00000000" w:csb0="2000019F" w:csb1="00000000"/>
  </w:font>
  <w:font w:name="Wingdings 3">
    <w:panose1 w:val="05040102010807070707"/>
    <w:charset w:val="00"/>
    <w:family w:val="auto"/>
    <w:pitch w:val="default"/>
    <w:sig w:usb0="00000000" w:usb1="00000000" w:usb2="00000000" w:usb3="00000000" w:csb0="80000000" w:csb1="00000000"/>
  </w:font>
  <w:font w:name="@Batang">
    <w:altName w:val="Malgun Gothic"/>
    <w:panose1 w:val="02030600000101010101"/>
    <w:charset w:val="81"/>
    <w:family w:val="auto"/>
    <w:pitch w:val="default"/>
    <w:sig w:usb0="00000000" w:usb1="00000000" w:usb2="00000010" w:usb3="00000000" w:csb0="00080000" w:csb1="00000000"/>
  </w:font>
  <w:font w:name="Times">
    <w:altName w:val="Times New Roman"/>
    <w:panose1 w:val="02020603050405020304"/>
    <w:charset w:val="00"/>
    <w:family w:val="roman"/>
    <w:pitch w:val="default"/>
    <w:sig w:usb0="00000000" w:usb1="00000000" w:usb2="00000009" w:usb3="00000000" w:csb0="000001FF" w:csb1="00000000"/>
  </w:font>
  <w:font w:name="Arno Pro">
    <w:altName w:val="Goudy Old Style"/>
    <w:panose1 w:val="02020502040506020403"/>
    <w:charset w:val="00"/>
    <w:family w:val="auto"/>
    <w:pitch w:val="default"/>
    <w:sig w:usb0="00000000" w:usb1="00000000" w:usb2="00000000" w:usb3="00000000" w:csb0="00040001" w:csb1="00000000"/>
  </w:font>
  <w:font w:name="Gabriola">
    <w:panose1 w:val="04040605051002020D02"/>
    <w:charset w:val="00"/>
    <w:family w:val="decorative"/>
    <w:pitch w:val="default"/>
    <w:sig w:usb0="E00002EF" w:usb1="5000204B" w:usb2="00000000" w:usb3="00000000" w:csb0="2000009F" w:csb1="00000000"/>
  </w:font>
  <w:font w:name="PalatinoLTStd-Roman">
    <w:altName w:val="MS Gothic"/>
    <w:panose1 w:val="00000000000000000000"/>
    <w:charset w:val="80"/>
    <w:family w:val="auto"/>
    <w:pitch w:val="default"/>
    <w:sig w:usb0="00000000" w:usb1="00000000" w:usb2="00000010" w:usb3="00000000" w:csb0="00020000" w:csb1="00000000"/>
  </w:font>
  <w:font w:name="AdvTT3713a231+01">
    <w:altName w:val="Yu Gothic"/>
    <w:panose1 w:val="00000000000000000000"/>
    <w:charset w:val="80"/>
    <w:family w:val="auto"/>
    <w:pitch w:val="default"/>
    <w:sig w:usb0="00000000" w:usb1="00000000" w:usb2="00000010" w:usb3="00000000" w:csb0="00020000" w:csb1="00000000"/>
  </w:font>
  <w:font w:name="Goudy Old Style">
    <w:panose1 w:val="02020502050305020303"/>
    <w:charset w:val="00"/>
    <w:family w:val="auto"/>
    <w:pitch w:val="default"/>
    <w:sig w:usb0="00000003" w:usb1="00000000" w:usb2="00000000" w:usb3="00000000" w:csb0="20000001"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val="0"/>
  <w:bordersDoNotSurroundFooter w:val="0"/>
  <w:documentProtection w:enforcement="0"/>
  <w:defaultTabStop w:val="720"/>
  <w:drawingGridHorizontalSpacing w:val="110"/>
  <w:displayHorizontalDrawingGridEvery w:val="1"/>
  <w:displayVerticalDrawingGridEvery w:val="1"/>
  <w:characterSpacingControl w:val="doNotCompress"/>
  <w:compat>
    <w:doNotExpandShiftReturn/>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6B862CA"/>
    <w:rsid w:val="21FB52CD"/>
    <w:rsid w:val="23EB0BA3"/>
    <w:rsid w:val="2CE03756"/>
    <w:rsid w:val="37741D83"/>
    <w:rsid w:val="38A03B58"/>
    <w:rsid w:val="4A8C4833"/>
    <w:rsid w:val="55E9408E"/>
    <w:rsid w:val="5B115DFE"/>
    <w:rsid w:val="6D6537B8"/>
    <w:rsid w:val="7D212F24"/>
    <w:rsid w:val="7D856579"/>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2">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Balloon Text"/>
    <w:basedOn w:val="1"/>
    <w:link w:val="17"/>
    <w:unhideWhenUsed/>
    <w:uiPriority w:val="99"/>
    <w:rPr>
      <w:rFonts w:ascii="Tahoma" w:hAnsi="Tahoma" w:cs="Tahoma"/>
      <w:sz w:val="16"/>
      <w:szCs w:val="16"/>
    </w:rPr>
  </w:style>
  <w:style w:type="paragraph" w:styleId="6">
    <w:name w:val="Body Text"/>
    <w:basedOn w:val="1"/>
    <w:link w:val="18"/>
    <w:qFormat/>
    <w:uiPriority w:val="1"/>
    <w:rPr>
      <w:sz w:val="18"/>
      <w:szCs w:val="18"/>
    </w:rPr>
  </w:style>
  <w:style w:type="paragraph" w:styleId="7">
    <w:name w:val="footer"/>
    <w:basedOn w:val="1"/>
    <w:link w:val="16"/>
    <w:unhideWhenUsed/>
    <w:uiPriority w:val="99"/>
    <w:pPr>
      <w:tabs>
        <w:tab w:val="center" w:pos="4513"/>
        <w:tab w:val="right" w:pos="9026"/>
      </w:tabs>
    </w:pPr>
  </w:style>
  <w:style w:type="paragraph" w:styleId="8">
    <w:name w:val="header"/>
    <w:basedOn w:val="1"/>
    <w:link w:val="15"/>
    <w:unhideWhenUsed/>
    <w:qFormat/>
    <w:uiPriority w:val="99"/>
    <w:pPr>
      <w:tabs>
        <w:tab w:val="center" w:pos="4513"/>
        <w:tab w:val="right" w:pos="9026"/>
      </w:tabs>
    </w:pPr>
  </w:style>
  <w:style w:type="character" w:styleId="10">
    <w:name w:val="Emphasis"/>
    <w:basedOn w:val="9"/>
    <w:qFormat/>
    <w:uiPriority w:val="20"/>
    <w:rPr>
      <w:i/>
      <w:iCs/>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paragraph" w:customStyle="1"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9"/>
    <w:link w:val="8"/>
    <w:qFormat/>
    <w:uiPriority w:val="99"/>
    <w:rPr>
      <w:rFonts w:ascii="Tw Cen MT" w:hAnsi="Tw Cen MT" w:eastAsia="Tw Cen MT" w:cs="Tw Cen MT"/>
    </w:rPr>
  </w:style>
  <w:style w:type="character" w:customStyle="1" w:styleId="16">
    <w:name w:val="Footer Char"/>
    <w:basedOn w:val="9"/>
    <w:link w:val="7"/>
    <w:qFormat/>
    <w:uiPriority w:val="99"/>
    <w:rPr>
      <w:rFonts w:ascii="Tw Cen MT" w:hAnsi="Tw Cen MT" w:eastAsia="Tw Cen MT" w:cs="Tw Cen MT"/>
    </w:rPr>
  </w:style>
  <w:style w:type="character" w:customStyle="1" w:styleId="17">
    <w:name w:val="Balloon Text Char"/>
    <w:basedOn w:val="9"/>
    <w:link w:val="5"/>
    <w:semiHidden/>
    <w:qFormat/>
    <w:uiPriority w:val="99"/>
    <w:rPr>
      <w:rFonts w:ascii="Tahoma" w:hAnsi="Tahoma" w:eastAsia="Tw Cen MT" w:cs="Tahoma"/>
      <w:sz w:val="16"/>
      <w:szCs w:val="16"/>
    </w:rPr>
  </w:style>
  <w:style w:type="character" w:customStyle="1" w:styleId="18">
    <w:name w:val="Body Text Char"/>
    <w:basedOn w:val="9"/>
    <w:link w:val="6"/>
    <w:uiPriority w:val="1"/>
    <w:rPr>
      <w:rFonts w:ascii="Tw Cen MT" w:hAnsi="Tw Cen MT" w:eastAsia="Tw Cen MT" w:cs="Tw Cen MT"/>
      <w:sz w:val="18"/>
      <w:szCs w:val="18"/>
    </w:rPr>
  </w:style>
  <w:style w:type="paragraph" w:customStyle="1" w:styleId="19">
    <w:name w:val="Normal_IMP"/>
    <w:uiPriority w:val="0"/>
    <w:pPr>
      <w:keepNext w:val="0"/>
      <w:keepLines w:val="0"/>
      <w:widowControl/>
      <w:suppressLineNumbers w:val="0"/>
      <w:suppressAutoHyphens/>
      <w:overflowPunct w:val="0"/>
      <w:autoSpaceDE w:val="0"/>
      <w:autoSpaceDN w:val="0"/>
      <w:adjustRightInd w:val="0"/>
      <w:spacing w:before="0" w:beforeAutospacing="0" w:after="0" w:afterAutospacing="0" w:line="228" w:lineRule="auto"/>
      <w:ind w:left="0" w:right="0"/>
      <w:jc w:val="left"/>
    </w:pPr>
    <w:rPr>
      <w:rFonts w:hint="default" w:ascii="Times New Roman" w:hAnsi="Times New Roman" w:eastAsia="Times New Roman" w:cs="Times New Roman"/>
      <w:kern w:val="0"/>
      <w:sz w:val="20"/>
      <w:szCs w:val="2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3132</Characters>
  <Lines>26</Lines>
  <Paragraphs>7</Paragraphs>
  <ScaleCrop>false</ScaleCrop>
  <LinksUpToDate>false</LinksUpToDate>
  <CharactersWithSpaces>3674</CharactersWithSpaces>
  <Application>WPS Office_10.1.0.5783_F1E327BC-269C-435d-A152-05C5408002CA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cp:lastModifiedBy>university</cp:lastModifiedBy>
  <dcterms:modified xsi:type="dcterms:W3CDTF">2017-05-25T06:48:08Z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1033-10.1.0.5783</vt:lpwstr>
  </property>
</Properties>
</file>