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CB2" w:rsidRDefault="00184CB2" w:rsidP="00184CB2">
      <w:pPr>
        <w:ind w:left="180"/>
        <w:rPr>
          <w:rFonts w:ascii="Minion Pro" w:eastAsia="Minion Pro" w:hAnsi="Minion Pro" w:cs="Minion Pro"/>
          <w:b/>
          <w:bCs/>
          <w:color w:val="337AB7"/>
          <w:sz w:val="36"/>
          <w:szCs w:val="36"/>
          <w:rtl/>
        </w:rPr>
      </w:pPr>
      <w:r w:rsidRPr="00184CB2">
        <w:rPr>
          <w:rFonts w:ascii="Minion Pro" w:eastAsia="Minion Pro" w:hAnsi="Minion Pro" w:cs="Minion Pro"/>
          <w:b/>
          <w:bCs/>
          <w:color w:val="337AB7"/>
          <w:sz w:val="36"/>
          <w:szCs w:val="36"/>
        </w:rPr>
        <w:t>Production and utilization of Nano kit for detection of phosphine in biological samples in Fore</w:t>
      </w:r>
      <w:bookmarkStart w:id="0" w:name="_GoBack"/>
      <w:bookmarkEnd w:id="0"/>
      <w:r w:rsidRPr="00184CB2">
        <w:rPr>
          <w:rFonts w:ascii="Minion Pro" w:eastAsia="Minion Pro" w:hAnsi="Minion Pro" w:cs="Minion Pro"/>
          <w:b/>
          <w:bCs/>
          <w:color w:val="337AB7"/>
          <w:sz w:val="36"/>
          <w:szCs w:val="36"/>
        </w:rPr>
        <w:t>nsics medicine</w:t>
      </w:r>
    </w:p>
    <w:p w:rsidR="00184CB2" w:rsidRDefault="00184CB2" w:rsidP="00184CB2">
      <w:pPr>
        <w:ind w:left="180"/>
        <w:rPr>
          <w:rFonts w:ascii="Minion Pro" w:eastAsia="Minion Pro" w:hAnsi="Minion Pro" w:cs="Minion Pro"/>
          <w:b/>
          <w:bCs/>
          <w:color w:val="337AB7"/>
          <w:sz w:val="36"/>
          <w:szCs w:val="36"/>
        </w:rPr>
      </w:pPr>
      <w:r w:rsidRPr="00184CB2">
        <w:rPr>
          <w:rFonts w:asciiTheme="majorBidi" w:hAnsiTheme="majorBidi" w:cstheme="majorBidi"/>
          <w:sz w:val="20"/>
          <w:szCs w:val="20"/>
          <w:lang w:bidi="fa-IR"/>
        </w:rPr>
        <w:t>Saeideh Zahedi,</w:t>
      </w:r>
      <w:r>
        <w:rPr>
          <w:rFonts w:ascii="Minion Pro" w:eastAsia="Minion Pro" w:hAnsi="Minion Pro" w:cs="Minion Pro"/>
          <w:b/>
          <w:bCs/>
          <w:color w:val="337AB7"/>
          <w:sz w:val="36"/>
          <w:szCs w:val="36"/>
        </w:rPr>
        <w:t xml:space="preserve"> </w:t>
      </w:r>
      <w:r w:rsidRPr="0079598D">
        <w:rPr>
          <w:rFonts w:asciiTheme="majorBidi" w:hAnsiTheme="majorBidi" w:cstheme="majorBidi"/>
          <w:sz w:val="20"/>
          <w:szCs w:val="20"/>
          <w:lang w:bidi="fa-IR"/>
        </w:rPr>
        <w:t>Legal Medicine Research Center, Legal Medicine Organization. Tehran, Iran.</w:t>
      </w:r>
    </w:p>
    <w:p w:rsidR="00184CB2" w:rsidRPr="0079598D" w:rsidRDefault="00184CB2" w:rsidP="00184CB2">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Reza Khoshnoud, </w:t>
      </w:r>
      <w:r w:rsidRPr="0079598D">
        <w:rPr>
          <w:rFonts w:asciiTheme="majorBidi" w:hAnsiTheme="majorBidi" w:cstheme="majorBidi"/>
          <w:sz w:val="20"/>
          <w:szCs w:val="20"/>
          <w:lang w:bidi="fa-IR"/>
        </w:rPr>
        <w:t>Legal Medicine Research Center, Legal Medicine Organization. Tehran, Iran.</w:t>
      </w:r>
    </w:p>
    <w:p w:rsidR="00184CB2" w:rsidRPr="0079598D" w:rsidRDefault="00184CB2" w:rsidP="00184CB2">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Abdorrasoul Malekpour, </w:t>
      </w:r>
      <w:r w:rsidRPr="0079598D">
        <w:rPr>
          <w:rFonts w:asciiTheme="majorBidi" w:hAnsiTheme="majorBidi" w:cstheme="majorBidi"/>
          <w:sz w:val="20"/>
          <w:szCs w:val="20"/>
          <w:lang w:bidi="fa-IR"/>
        </w:rPr>
        <w:t>Legal Medicine Research Center, Legal Medicine Organization. Tehran, Iran.</w:t>
      </w:r>
    </w:p>
    <w:p w:rsidR="00184CB2" w:rsidRPr="0079598D" w:rsidRDefault="00184CB2" w:rsidP="00184CB2">
      <w:pPr>
        <w:ind w:left="180"/>
        <w:rPr>
          <w:rFonts w:asciiTheme="majorBidi" w:hAnsiTheme="majorBidi" w:cstheme="majorBidi"/>
          <w:sz w:val="20"/>
          <w:szCs w:val="20"/>
          <w:lang w:bidi="fa-IR"/>
        </w:rPr>
      </w:pPr>
      <w:r w:rsidRPr="0079598D">
        <w:rPr>
          <w:rFonts w:asciiTheme="majorBidi" w:hAnsiTheme="majorBidi" w:cstheme="majorBidi"/>
          <w:sz w:val="20"/>
          <w:szCs w:val="20"/>
        </w:rPr>
        <w:t xml:space="preserve">Saeid Gholamzadeh, </w:t>
      </w:r>
      <w:r w:rsidRPr="0079598D">
        <w:rPr>
          <w:rFonts w:asciiTheme="majorBidi" w:hAnsiTheme="majorBidi" w:cstheme="majorBidi"/>
          <w:sz w:val="20"/>
          <w:szCs w:val="20"/>
          <w:lang w:bidi="fa-IR"/>
        </w:rPr>
        <w:t>Legal Medicine Research Center, Legal Medicine Organization. Tehran, Iran.</w:t>
      </w:r>
    </w:p>
    <w:p w:rsidR="00184CB2" w:rsidRPr="0079598D" w:rsidRDefault="00184CB2" w:rsidP="00184CB2">
      <w:pPr>
        <w:ind w:left="180"/>
        <w:rPr>
          <w:rFonts w:asciiTheme="majorBidi" w:hAnsiTheme="majorBidi" w:cstheme="majorBidi"/>
          <w:sz w:val="20"/>
          <w:szCs w:val="20"/>
          <w:lang w:bidi="fa-IR"/>
        </w:rPr>
      </w:pPr>
      <w:r>
        <w:rPr>
          <w:rFonts w:asciiTheme="majorBidi" w:hAnsiTheme="majorBidi" w:cstheme="majorBidi"/>
          <w:sz w:val="20"/>
          <w:szCs w:val="20"/>
        </w:rPr>
        <w:t>Mohammadsadegh Safvat</w:t>
      </w:r>
      <w:r w:rsidRPr="0079598D">
        <w:rPr>
          <w:rFonts w:asciiTheme="majorBidi" w:hAnsiTheme="majorBidi" w:cstheme="majorBidi"/>
          <w:sz w:val="20"/>
          <w:szCs w:val="20"/>
        </w:rPr>
        <w:t xml:space="preserve">, </w:t>
      </w:r>
      <w:r w:rsidRPr="0079598D">
        <w:rPr>
          <w:rFonts w:asciiTheme="majorBidi" w:hAnsiTheme="majorBidi" w:cstheme="majorBidi"/>
          <w:sz w:val="20"/>
          <w:szCs w:val="20"/>
          <w:lang w:bidi="fa-IR"/>
        </w:rPr>
        <w:t>Legal Medicine Research Center, Legal Medicine Organization. Tehran, Iran.</w:t>
      </w:r>
    </w:p>
    <w:p w:rsidR="00184CB2" w:rsidRPr="0079598D" w:rsidRDefault="00184CB2" w:rsidP="00184CB2">
      <w:pPr>
        <w:ind w:left="180"/>
        <w:rPr>
          <w:rFonts w:asciiTheme="majorBidi" w:hAnsiTheme="majorBidi" w:cstheme="majorBidi"/>
          <w:sz w:val="20"/>
          <w:szCs w:val="20"/>
          <w:lang w:bidi="fa-IR"/>
        </w:rPr>
      </w:pPr>
      <w:r>
        <w:rPr>
          <w:rFonts w:asciiTheme="majorBidi" w:hAnsiTheme="majorBidi" w:cstheme="majorBidi"/>
          <w:sz w:val="20"/>
          <w:szCs w:val="20"/>
        </w:rPr>
        <w:t>Ehsan Javidnezhad</w:t>
      </w:r>
      <w:r w:rsidRPr="0079598D">
        <w:rPr>
          <w:rFonts w:asciiTheme="majorBidi" w:hAnsiTheme="majorBidi" w:cstheme="majorBidi"/>
          <w:sz w:val="20"/>
          <w:szCs w:val="20"/>
        </w:rPr>
        <w:t xml:space="preserve">, </w:t>
      </w:r>
      <w:r w:rsidRPr="0079598D">
        <w:rPr>
          <w:rFonts w:asciiTheme="majorBidi" w:hAnsiTheme="majorBidi" w:cstheme="majorBidi"/>
          <w:sz w:val="20"/>
          <w:szCs w:val="20"/>
          <w:lang w:bidi="fa-IR"/>
        </w:rPr>
        <w:t>Legal Medicine Research Center, Legal Medicine Organization. Tehran, Iran.</w:t>
      </w:r>
    </w:p>
    <w:p w:rsidR="00184CB2" w:rsidRPr="0079598D" w:rsidRDefault="00184CB2" w:rsidP="00184CB2">
      <w:pPr>
        <w:pStyle w:val="BodyText"/>
        <w:spacing w:before="3"/>
        <w:ind w:left="180"/>
        <w:rPr>
          <w:rFonts w:ascii="Arial"/>
          <w:szCs w:val="14"/>
        </w:rPr>
      </w:pPr>
    </w:p>
    <w:p w:rsidR="00184CB2" w:rsidRDefault="00184CB2" w:rsidP="00184CB2">
      <w:pPr>
        <w:rPr>
          <w:rFonts w:ascii="Arial"/>
          <w:sz w:val="21"/>
        </w:rPr>
        <w:sectPr w:rsidR="00184CB2" w:rsidSect="00C77184">
          <w:headerReference w:type="default" r:id="rId5"/>
          <w:footerReference w:type="default" r:id="rId6"/>
          <w:pgSz w:w="11910" w:h="16840"/>
          <w:pgMar w:top="1740" w:right="600" w:bottom="840" w:left="620" w:header="541" w:footer="642" w:gutter="0"/>
          <w:cols w:space="720"/>
        </w:sectPr>
      </w:pPr>
    </w:p>
    <w:p w:rsidR="00184CB2" w:rsidRDefault="00184CB2" w:rsidP="00184CB2">
      <w:pPr>
        <w:pStyle w:val="Heading3"/>
        <w:spacing w:before="147"/>
        <w:jc w:val="both"/>
        <w:rPr>
          <w:color w:val="BF5A14"/>
        </w:rPr>
      </w:pPr>
      <w:r>
        <w:rPr>
          <w:color w:val="BF5A14"/>
        </w:rPr>
        <w:t xml:space="preserve">Abstract </w:t>
      </w:r>
    </w:p>
    <w:p w:rsidR="00184CB2" w:rsidRDefault="00184CB2" w:rsidP="00184CB2">
      <w:pPr>
        <w:pStyle w:val="BodyText"/>
        <w:jc w:val="both"/>
        <w:rPr>
          <w:rFonts w:ascii="Arial"/>
          <w:b/>
          <w:sz w:val="20"/>
        </w:rPr>
      </w:pPr>
      <w:r w:rsidRPr="0005615B">
        <w:t>This study describes eleven fatal cases of strychnine ingestion including 8 men and 3 women with minimum and maximum ages of 17 and 56 years old. Most of them had education level of high school and had neither criminal history nor psychological disorders except 3 cases that were consuming psychiatric drugs. The strychnine was isolated from biological samples using a solid phase extraction (SPE) procedure and detected by analytical methods such as thin layer chromatography (TLC), gas chromatography/mass spectrometry (GC-MS) as well as high performance liquid chromatography (HPLC). Facial and ocular congestion, facial cyanosis, lung edema and hemorrhage were found in all of the cases. Hyperemic kidney, brain, liver and meninges and lung collapse were other pathologic findings. Reactive gliosis, subarachnoid focal hemorrhage and 6 cm laceration on the left side of the face were separately found in three cases. Considering highly fatal effects of strychnine and its potential suicide use it should be strictly and severely vigilant. On the other hand, used analytical methods indicated their reliable, simple, specific and sensible application in forensic and clinical investigations.</w:t>
      </w:r>
      <w:r w:rsidRPr="004A77D2">
        <w:br/>
      </w:r>
      <w:r>
        <w:rPr>
          <w:rFonts w:ascii="Arial"/>
          <w:b/>
          <w:color w:val="BF5A14"/>
          <w:sz w:val="20"/>
        </w:rPr>
        <w:t xml:space="preserve">Recent Publications </w:t>
      </w:r>
    </w:p>
    <w:p w:rsidR="00184CB2" w:rsidRPr="00494336" w:rsidRDefault="00184CB2" w:rsidP="00184CB2">
      <w:pPr>
        <w:pStyle w:val="ListParagraph"/>
        <w:numPr>
          <w:ilvl w:val="0"/>
          <w:numId w:val="1"/>
        </w:numPr>
        <w:tabs>
          <w:tab w:val="left" w:pos="384"/>
        </w:tabs>
        <w:spacing w:line="216" w:lineRule="exact"/>
        <w:ind w:right="137" w:hanging="283"/>
        <w:rPr>
          <w:spacing w:val="-4"/>
          <w:sz w:val="18"/>
        </w:rPr>
      </w:pPr>
      <w:r w:rsidRPr="00494336">
        <w:rPr>
          <w:spacing w:val="-4"/>
          <w:sz w:val="18"/>
        </w:rPr>
        <w:t>Saeid Gholamzadeh M, Mohammad Zarenezhad, MD, PhD</w:t>
      </w:r>
      <w:r w:rsidRPr="00494336">
        <w:rPr>
          <w:rFonts w:ascii="Cambria Math" w:hAnsi="Cambria Math" w:cs="Cambria Math"/>
          <w:spacing w:val="-4"/>
          <w:sz w:val="18"/>
        </w:rPr>
        <w:t>∗</w:t>
      </w:r>
      <w:r w:rsidRPr="00494336">
        <w:rPr>
          <w:spacing w:val="-4"/>
          <w:sz w:val="18"/>
        </w:rPr>
        <w:t xml:space="preserve"> , Mahmoud Montazeri, MD, Marzieh Zareikordshooli, MS in Law, Ghazaleh Sadeghi, MS in Law, Abdorrasoul Malekpour, DVM, Sanaz </w:t>
      </w:r>
      <w:proofErr w:type="spellStart"/>
      <w:r w:rsidRPr="00494336">
        <w:rPr>
          <w:spacing w:val="-4"/>
          <w:sz w:val="18"/>
        </w:rPr>
        <w:t>Hoseni</w:t>
      </w:r>
      <w:proofErr w:type="spellEnd"/>
      <w:r w:rsidRPr="00494336">
        <w:rPr>
          <w:spacing w:val="-4"/>
          <w:sz w:val="18"/>
        </w:rPr>
        <w:t xml:space="preserve">, Medical Student, Mohammadreza Bahrani, MD, Razieh </w:t>
      </w:r>
      <w:r w:rsidRPr="00494336">
        <w:rPr>
          <w:spacing w:val="-4"/>
          <w:sz w:val="18"/>
        </w:rPr>
        <w:t>Hajatmand, MD. Statistical Analysis of Organ Morphometric Parameters and Weights in South Iranian Adult Autopsies. Medicine. 2017</w:t>
      </w:r>
      <w:proofErr w:type="gramStart"/>
      <w:r w:rsidRPr="00494336">
        <w:rPr>
          <w:spacing w:val="-4"/>
          <w:sz w:val="18"/>
        </w:rPr>
        <w:t>;96</w:t>
      </w:r>
      <w:proofErr w:type="gramEnd"/>
      <w:r w:rsidRPr="00494336">
        <w:rPr>
          <w:spacing w:val="-4"/>
          <w:sz w:val="18"/>
        </w:rPr>
        <w:t>(21):e6447.</w:t>
      </w:r>
    </w:p>
    <w:p w:rsidR="00184CB2" w:rsidRDefault="00184CB2" w:rsidP="00184CB2">
      <w:pPr>
        <w:pStyle w:val="ListParagraph"/>
        <w:numPr>
          <w:ilvl w:val="0"/>
          <w:numId w:val="1"/>
        </w:numPr>
        <w:tabs>
          <w:tab w:val="left" w:pos="384"/>
        </w:tabs>
        <w:spacing w:line="216" w:lineRule="exact"/>
        <w:ind w:right="138"/>
        <w:rPr>
          <w:sz w:val="18"/>
        </w:rPr>
      </w:pPr>
      <w:r w:rsidRPr="00494336">
        <w:rPr>
          <w:sz w:val="18"/>
        </w:rPr>
        <w:t>Hosseini M, Khoshnoud R, Gholamzadeh S, Naseri G, Tarian T, Malekpour A, et al. A Case Report of Suicide with Chloroquine Overdose and Review of Literature. Journal of Fasa University of Medical Sciences. 2016</w:t>
      </w:r>
      <w:proofErr w:type="gramStart"/>
      <w:r w:rsidRPr="00494336">
        <w:rPr>
          <w:sz w:val="18"/>
        </w:rPr>
        <w:t>;6</w:t>
      </w:r>
      <w:proofErr w:type="gramEnd"/>
      <w:r w:rsidRPr="00494336">
        <w:rPr>
          <w:sz w:val="18"/>
        </w:rPr>
        <w:t>(2):133-7.</w:t>
      </w:r>
    </w:p>
    <w:p w:rsidR="00184CB2" w:rsidRPr="00F00D5F" w:rsidRDefault="00184CB2" w:rsidP="00184CB2">
      <w:pPr>
        <w:pStyle w:val="ListParagraph"/>
        <w:numPr>
          <w:ilvl w:val="0"/>
          <w:numId w:val="1"/>
        </w:numPr>
        <w:tabs>
          <w:tab w:val="left" w:pos="384"/>
        </w:tabs>
        <w:spacing w:before="85" w:line="216" w:lineRule="exact"/>
        <w:ind w:right="138"/>
      </w:pPr>
      <w:r w:rsidRPr="00045332">
        <w:rPr>
          <w:sz w:val="18"/>
        </w:rPr>
        <w:t>Maryam Hosseini HA, Abdorrasoul Malekpour, Tahereh Tarian, Asiyeh Hashemi, Reza Khoshnoud1, Saeid Gholamzadeh, Mohammad Zarenezhad. Modified Solid Phase Extraction of Organophosphorus Pesticides; Report of Two Cases of Suicides. International Journal of Pharmacy and Biological Sciences. 2016</w:t>
      </w:r>
      <w:proofErr w:type="gramStart"/>
      <w:r w:rsidRPr="00045332">
        <w:rPr>
          <w:sz w:val="18"/>
        </w:rPr>
        <w:t>;6</w:t>
      </w:r>
      <w:proofErr w:type="gramEnd"/>
      <w:r w:rsidRPr="00045332">
        <w:rPr>
          <w:sz w:val="18"/>
        </w:rPr>
        <w:t>(3):74-7.</w:t>
      </w:r>
    </w:p>
    <w:p w:rsidR="00184CB2" w:rsidRPr="00F00D5F" w:rsidRDefault="00184CB2" w:rsidP="00184CB2">
      <w:pPr>
        <w:pStyle w:val="ListParagraph"/>
        <w:numPr>
          <w:ilvl w:val="0"/>
          <w:numId w:val="1"/>
        </w:numPr>
        <w:tabs>
          <w:tab w:val="left" w:pos="384"/>
        </w:tabs>
        <w:spacing w:before="85" w:line="216" w:lineRule="exact"/>
        <w:ind w:right="138"/>
        <w:rPr>
          <w:sz w:val="18"/>
        </w:rPr>
      </w:pPr>
      <w:r w:rsidRPr="00F00D5F">
        <w:rPr>
          <w:sz w:val="18"/>
        </w:rPr>
        <w:t>Mortazavi M, Zarenezhad M, Gholamzadeh S, Alavian SM, Ghorbani M, Dehghani R, et al. Bioinformatic Identification of Rare Codon Clusters (RCCs) in HBV Genome and Evaluation of RCCs in Proteins Structure of Hepatitis B Virus. Hepatitis monthly. 2016</w:t>
      </w:r>
      <w:proofErr w:type="gramStart"/>
      <w:r w:rsidRPr="00F00D5F">
        <w:rPr>
          <w:sz w:val="18"/>
        </w:rPr>
        <w:t>;16</w:t>
      </w:r>
      <w:proofErr w:type="gramEnd"/>
      <w:r w:rsidRPr="00F00D5F">
        <w:rPr>
          <w:sz w:val="18"/>
        </w:rPr>
        <w:t>(10).</w:t>
      </w:r>
    </w:p>
    <w:p w:rsidR="00184CB2" w:rsidRPr="00496E6D" w:rsidRDefault="00184CB2" w:rsidP="00184CB2">
      <w:pPr>
        <w:pStyle w:val="ListParagraph"/>
        <w:numPr>
          <w:ilvl w:val="0"/>
          <w:numId w:val="1"/>
        </w:numPr>
        <w:tabs>
          <w:tab w:val="left" w:pos="384"/>
        </w:tabs>
        <w:spacing w:before="85" w:line="216" w:lineRule="exact"/>
        <w:ind w:right="138"/>
        <w:rPr>
          <w:sz w:val="18"/>
        </w:rPr>
      </w:pPr>
      <w:r w:rsidRPr="00F00D5F">
        <w:rPr>
          <w:sz w:val="18"/>
        </w:rPr>
        <w:t>Mortazavi M, Zarenezhad M, Alavian SM, Gholamzadeh S,</w:t>
      </w:r>
      <w:r w:rsidRPr="00496E6D">
        <w:rPr>
          <w:sz w:val="18"/>
        </w:rPr>
        <w:t xml:space="preserve"> Malekpour A, Ghorbani M, et al. Bioinformatic Analysis of Codon Usage and Phylogenetic Relationships in Different Genotypes of the Hepatitis C Virus. Hepatitis monthly. 2016</w:t>
      </w:r>
      <w:proofErr w:type="gramStart"/>
      <w:r w:rsidRPr="00496E6D">
        <w:rPr>
          <w:sz w:val="18"/>
        </w:rPr>
        <w:t>;16</w:t>
      </w:r>
      <w:proofErr w:type="gramEnd"/>
      <w:r w:rsidRPr="00496E6D">
        <w:rPr>
          <w:sz w:val="18"/>
        </w:rPr>
        <w:t>(10).</w:t>
      </w:r>
    </w:p>
    <w:p w:rsidR="00184CB2" w:rsidRDefault="00184CB2" w:rsidP="00184CB2">
      <w:pPr>
        <w:pStyle w:val="ListParagraph"/>
        <w:numPr>
          <w:ilvl w:val="0"/>
          <w:numId w:val="1"/>
        </w:numPr>
        <w:tabs>
          <w:tab w:val="left" w:pos="384"/>
        </w:tabs>
        <w:spacing w:before="85" w:line="216" w:lineRule="exact"/>
        <w:ind w:right="138"/>
        <w:sectPr w:rsidR="00184CB2">
          <w:type w:val="continuous"/>
          <w:pgSz w:w="11910" w:h="16840"/>
          <w:pgMar w:top="1740" w:right="600" w:bottom="840" w:left="620" w:header="720" w:footer="720" w:gutter="0"/>
          <w:cols w:num="2" w:space="720" w:equalWidth="0">
            <w:col w:w="5214" w:space="138"/>
            <w:col w:w="5338"/>
          </w:cols>
        </w:sectPr>
      </w:pPr>
    </w:p>
    <w:p w:rsidR="00184CB2" w:rsidRDefault="00184CB2" w:rsidP="00184CB2">
      <w:pPr>
        <w:pStyle w:val="BodyText"/>
        <w:spacing w:line="40" w:lineRule="exact"/>
        <w:ind w:left="2202"/>
        <w:rPr>
          <w:rFonts w:ascii="Calibri"/>
          <w:sz w:val="4"/>
        </w:rPr>
      </w:pPr>
      <w:r>
        <w:rPr>
          <w:rFonts w:ascii="Calibri"/>
          <w:noProof/>
          <w:sz w:val="4"/>
        </w:rPr>
        <mc:AlternateContent>
          <mc:Choice Requires="wpg">
            <w:drawing>
              <wp:inline distT="0" distB="0" distL="0" distR="0" wp14:anchorId="219D97B9" wp14:editId="35D258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6F52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84CB2" w:rsidRDefault="00184CB2" w:rsidP="00184CB2">
      <w:pPr>
        <w:spacing w:before="92"/>
        <w:ind w:right="4234"/>
        <w:rPr>
          <w:rFonts w:ascii="Arial"/>
        </w:rPr>
      </w:pPr>
      <w:r>
        <w:rPr>
          <w:noProof/>
        </w:rPr>
        <w:t xml:space="preserve">              </w:t>
      </w:r>
      <w:r>
        <w:rPr>
          <w:rFonts w:ascii="Arial"/>
          <w:color w:val="BF5A14"/>
        </w:rPr>
        <w:t>Biography (150 word limit)</w:t>
      </w:r>
    </w:p>
    <w:p w:rsidR="00184CB2" w:rsidRDefault="00184CB2" w:rsidP="00184CB2">
      <w:pPr>
        <w:spacing w:before="41" w:line="154" w:lineRule="exact"/>
        <w:ind w:left="213" w:right="231"/>
        <w:jc w:val="both"/>
        <w:rPr>
          <w:rFonts w:ascii="Arial"/>
          <w:sz w:val="14"/>
        </w:rPr>
      </w:pPr>
      <w:r>
        <w:rPr>
          <w:rFonts w:ascii="Arial"/>
          <w:sz w:val="14"/>
        </w:rPr>
        <w:t xml:space="preserve">The authors of this study have developed their expertise in forensic medicine and forensic toxicology. They improved new detective methods for detection of trace elements and toxic agents in biological samples. </w:t>
      </w:r>
    </w:p>
    <w:p w:rsidR="00184CB2" w:rsidRDefault="00184CB2" w:rsidP="00184CB2">
      <w:pPr>
        <w:spacing w:before="62"/>
        <w:ind w:left="4217" w:right="4030"/>
        <w:jc w:val="center"/>
        <w:rPr>
          <w:rFonts w:ascii="Arial"/>
          <w:sz w:val="14"/>
        </w:rPr>
      </w:pPr>
      <w:r>
        <w:rPr>
          <w:rFonts w:ascii="Arial"/>
          <w:sz w:val="14"/>
        </w:rPr>
        <w:t xml:space="preserve">Email: </w:t>
      </w:r>
      <w:hyperlink r:id="rId7" w:history="1">
        <w:r w:rsidRPr="00591AA3">
          <w:rPr>
            <w:rStyle w:val="Hyperlink"/>
            <w:rFonts w:ascii="Arial"/>
            <w:sz w:val="14"/>
          </w:rPr>
          <w:t>farslegalmedicine@gmail.com</w:t>
        </w:r>
      </w:hyperlink>
    </w:p>
    <w:p w:rsidR="00184CB2" w:rsidRDefault="00184CB2" w:rsidP="00184CB2">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61ACD85F" wp14:editId="3EF5950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5994D"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184CB2" w:rsidRDefault="00184CB2" w:rsidP="00184CB2">
      <w:pPr>
        <w:pStyle w:val="BodyText"/>
        <w:rPr>
          <w:rFonts w:ascii="Arial"/>
          <w:sz w:val="20"/>
        </w:rPr>
      </w:pPr>
    </w:p>
    <w:p w:rsidR="00184CB2" w:rsidRDefault="00184CB2" w:rsidP="00184CB2">
      <w:pPr>
        <w:pStyle w:val="BodyText"/>
        <w:rPr>
          <w:rFonts w:ascii="Arial"/>
          <w:sz w:val="20"/>
        </w:rPr>
      </w:pPr>
    </w:p>
    <w:p w:rsidR="00184CB2" w:rsidRDefault="00184CB2" w:rsidP="00184CB2">
      <w:pPr>
        <w:pStyle w:val="BodyText"/>
        <w:spacing w:before="7"/>
        <w:rPr>
          <w:rFonts w:ascii="Arial"/>
          <w:sz w:val="29"/>
        </w:rPr>
      </w:pPr>
    </w:p>
    <w:p w:rsidR="00184CB2" w:rsidRPr="00B21A57" w:rsidRDefault="00184CB2" w:rsidP="00184CB2">
      <w:pPr>
        <w:spacing w:before="39"/>
        <w:ind w:left="100"/>
        <w:rPr>
          <w:rFonts w:ascii="Minion Pro"/>
          <w:b/>
          <w:sz w:val="20"/>
        </w:rPr>
      </w:pPr>
      <w:r w:rsidRPr="00B21A57">
        <w:rPr>
          <w:rFonts w:ascii="Minion Pro"/>
          <w:b/>
          <w:sz w:val="20"/>
        </w:rPr>
        <w:t>Notes/Comments:</w:t>
      </w:r>
    </w:p>
    <w:p w:rsidR="00184CB2" w:rsidRDefault="00184CB2" w:rsidP="00184CB2">
      <w:pPr>
        <w:rPr>
          <w:rFonts w:ascii="Minion Pro"/>
          <w:sz w:val="24"/>
        </w:rPr>
        <w:sectPr w:rsidR="00184CB2">
          <w:type w:val="continuous"/>
          <w:pgSz w:w="11910" w:h="16840"/>
          <w:pgMar w:top="1740" w:right="600" w:bottom="840" w:left="620" w:header="720" w:footer="720" w:gutter="0"/>
          <w:cols w:space="720"/>
        </w:sectPr>
      </w:pPr>
    </w:p>
    <w:p w:rsidR="00184CB2" w:rsidRDefault="00184CB2" w:rsidP="00184CB2">
      <w:pPr>
        <w:pStyle w:val="BodyText"/>
        <w:spacing w:before="3"/>
        <w:rPr>
          <w:rFonts w:ascii="Minion Pro"/>
          <w:sz w:val="26"/>
        </w:rPr>
      </w:pPr>
    </w:p>
    <w:p w:rsidR="00184CB2" w:rsidRDefault="00184CB2" w:rsidP="00184CB2"/>
    <w:p w:rsidR="00184CB2" w:rsidRDefault="00184CB2" w:rsidP="00184CB2"/>
    <w:p w:rsidR="003F55BF" w:rsidRDefault="003F55BF"/>
    <w:sectPr w:rsidR="003F55BF"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647FE">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AA8AA78" wp14:editId="63A0B4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647F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647F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8AA78"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647F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647F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74ADC0B" wp14:editId="7DE85EF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647F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647FE">
                          <w:pPr>
                            <w:spacing w:before="29"/>
                            <w:jc w:val="center"/>
                            <w:rPr>
                              <w:rFonts w:ascii="Arial"/>
                              <w:color w:val="FFFFFF" w:themeColor="background1"/>
                              <w:sz w:val="16"/>
                            </w:rPr>
                          </w:pPr>
                          <w:r w:rsidRPr="005B3A56">
                            <w:rPr>
                              <w:rFonts w:ascii="Arial"/>
                              <w:color w:val="FFFFFF" w:themeColor="background1"/>
                              <w:sz w:val="16"/>
                            </w:rPr>
                            <w:t xml:space="preserve">June 15-16, </w:t>
                          </w:r>
                          <w:r w:rsidRPr="005B3A56">
                            <w:rPr>
                              <w:rFonts w:ascii="Arial"/>
                              <w:color w:val="FFFFFF" w:themeColor="background1"/>
                              <w:sz w:val="16"/>
                            </w:rPr>
                            <w:t>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ADC0B"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7647F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647FE">
                    <w:pPr>
                      <w:spacing w:before="29"/>
                      <w:jc w:val="center"/>
                      <w:rPr>
                        <w:rFonts w:ascii="Arial"/>
                        <w:color w:val="FFFFFF" w:themeColor="background1"/>
                        <w:sz w:val="16"/>
                      </w:rPr>
                    </w:pPr>
                    <w:r w:rsidRPr="005B3A56">
                      <w:rPr>
                        <w:rFonts w:ascii="Arial"/>
                        <w:color w:val="FFFFFF" w:themeColor="background1"/>
                        <w:sz w:val="16"/>
                      </w:rPr>
                      <w:t xml:space="preserve">June 15-16, </w:t>
                    </w:r>
                    <w:r w:rsidRPr="005B3A56">
                      <w:rPr>
                        <w:rFonts w:ascii="Arial"/>
                        <w:color w:val="FFFFFF" w:themeColor="background1"/>
                        <w:sz w:val="16"/>
                      </w:rPr>
                      <w:t>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68F58A8" wp14:editId="544910D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647F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647F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F58A8"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7647F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647F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647FE">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E95A7A0" wp14:editId="7E4C918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647F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5A7A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7647F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A787B67" wp14:editId="5B230CA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647F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647F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87B67"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7647F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647F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CB2"/>
    <w:rsid w:val="00184CB2"/>
    <w:rsid w:val="003F55BF"/>
    <w:rsid w:val="007647FE"/>
    <w:rsid w:val="007C007D"/>
    <w:rsid w:val="008C41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341F1-23DB-4210-8CCC-FA1C0A24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84CB2"/>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184CB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84CB2"/>
    <w:rPr>
      <w:rFonts w:ascii="Arial" w:eastAsia="Arial" w:hAnsi="Arial" w:cs="Arial"/>
      <w:b/>
      <w:bCs/>
      <w:sz w:val="20"/>
      <w:szCs w:val="20"/>
    </w:rPr>
  </w:style>
  <w:style w:type="paragraph" w:styleId="BodyText">
    <w:name w:val="Body Text"/>
    <w:basedOn w:val="Normal"/>
    <w:link w:val="BodyTextChar"/>
    <w:uiPriority w:val="1"/>
    <w:qFormat/>
    <w:rsid w:val="00184CB2"/>
    <w:rPr>
      <w:sz w:val="18"/>
      <w:szCs w:val="18"/>
    </w:rPr>
  </w:style>
  <w:style w:type="character" w:customStyle="1" w:styleId="BodyTextChar">
    <w:name w:val="Body Text Char"/>
    <w:basedOn w:val="DefaultParagraphFont"/>
    <w:link w:val="BodyText"/>
    <w:uiPriority w:val="1"/>
    <w:rsid w:val="00184CB2"/>
    <w:rPr>
      <w:rFonts w:ascii="Tw Cen MT" w:eastAsia="Tw Cen MT" w:hAnsi="Tw Cen MT" w:cs="Tw Cen MT"/>
      <w:sz w:val="18"/>
      <w:szCs w:val="18"/>
    </w:rPr>
  </w:style>
  <w:style w:type="paragraph" w:styleId="ListParagraph">
    <w:name w:val="List Paragraph"/>
    <w:basedOn w:val="Normal"/>
    <w:uiPriority w:val="1"/>
    <w:qFormat/>
    <w:rsid w:val="00184CB2"/>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84C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rslegalmedici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2017-08-22T12:13:00Z</dcterms:created>
  <dcterms:modified xsi:type="dcterms:W3CDTF">2017-08-22T12:15:00Z</dcterms:modified>
</cp:coreProperties>
</file>