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F72" w:rsidRDefault="0079696D" w:rsidP="00B93F72">
      <w:pPr>
        <w:ind w:left="180"/>
        <w:rPr>
          <w:rFonts w:ascii="Minion Pro" w:eastAsia="Minion Pro" w:hAnsi="Minion Pro" w:cs="Minion Pro"/>
          <w:b/>
          <w:bCs/>
          <w:color w:val="337AB7"/>
          <w:sz w:val="36"/>
          <w:szCs w:val="36"/>
        </w:rPr>
      </w:pPr>
      <w:r w:rsidRPr="0079696D">
        <w:rPr>
          <w:rFonts w:ascii="Minion Pro" w:eastAsia="Minion Pro" w:hAnsi="Minion Pro" w:cs="Minion Pro"/>
          <w:b/>
          <w:bCs/>
          <w:color w:val="337AB7"/>
          <w:sz w:val="36"/>
          <w:szCs w:val="36"/>
        </w:rPr>
        <w:t>Homicide with Aluminum phosphide; utility of Nano-sensor for detection of phosphine besides routine standard tests</w:t>
      </w:r>
    </w:p>
    <w:p w:rsidR="00B93F72" w:rsidRDefault="00B93F72" w:rsidP="00B93F7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Abdorrasoul Malekpour, </w:t>
      </w:r>
      <w:r w:rsidRPr="0079598D">
        <w:rPr>
          <w:rFonts w:asciiTheme="majorBidi" w:hAnsiTheme="majorBidi" w:cstheme="majorBidi"/>
          <w:sz w:val="20"/>
          <w:szCs w:val="20"/>
          <w:lang w:bidi="fa-IR"/>
        </w:rPr>
        <w:t>Legal Medicine Research Center, Legal Medicine Organization</w:t>
      </w:r>
      <w:r>
        <w:rPr>
          <w:rFonts w:asciiTheme="majorBidi" w:hAnsiTheme="majorBidi" w:cstheme="majorBidi"/>
          <w:sz w:val="20"/>
          <w:szCs w:val="20"/>
          <w:lang w:bidi="fa-IR"/>
        </w:rPr>
        <w:t>,</w:t>
      </w:r>
      <w:r w:rsidRPr="0079598D">
        <w:rPr>
          <w:rFonts w:asciiTheme="majorBidi" w:hAnsiTheme="majorBidi" w:cstheme="majorBidi"/>
          <w:sz w:val="20"/>
          <w:szCs w:val="20"/>
          <w:lang w:bidi="fa-IR"/>
        </w:rPr>
        <w:t xml:space="preserve"> Tehran, Iran.</w:t>
      </w:r>
    </w:p>
    <w:p w:rsidR="00B93F72" w:rsidRPr="0079598D" w:rsidRDefault="00B93F72" w:rsidP="00B93F7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Reza Khoshnoud, </w:t>
      </w:r>
      <w:r w:rsidRPr="0079598D">
        <w:rPr>
          <w:rFonts w:asciiTheme="majorBidi" w:hAnsiTheme="majorBidi" w:cstheme="majorBidi"/>
          <w:sz w:val="20"/>
          <w:szCs w:val="20"/>
          <w:lang w:bidi="fa-IR"/>
        </w:rPr>
        <w:t>Legal Medicine Research Center, Legal Medicine Organization</w:t>
      </w:r>
      <w:r>
        <w:rPr>
          <w:rFonts w:asciiTheme="majorBidi" w:hAnsiTheme="majorBidi" w:cstheme="majorBidi"/>
          <w:sz w:val="20"/>
          <w:szCs w:val="20"/>
          <w:lang w:bidi="fa-IR"/>
        </w:rPr>
        <w:t>,</w:t>
      </w:r>
      <w:r w:rsidRPr="0079598D">
        <w:rPr>
          <w:rFonts w:asciiTheme="majorBidi" w:hAnsiTheme="majorBidi" w:cstheme="majorBidi"/>
          <w:sz w:val="20"/>
          <w:szCs w:val="20"/>
          <w:lang w:bidi="fa-IR"/>
        </w:rPr>
        <w:t xml:space="preserve"> Tehran, Iran.</w:t>
      </w:r>
    </w:p>
    <w:p w:rsidR="00B93F72" w:rsidRPr="0079598D" w:rsidRDefault="00B93F72" w:rsidP="00B93F7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Saeid Gholamzadeh, </w:t>
      </w:r>
      <w:r w:rsidRPr="0079598D">
        <w:rPr>
          <w:rFonts w:asciiTheme="majorBidi" w:hAnsiTheme="majorBidi" w:cstheme="majorBidi"/>
          <w:sz w:val="20"/>
          <w:szCs w:val="20"/>
          <w:lang w:bidi="fa-IR"/>
        </w:rPr>
        <w:t>Legal Medicine Research Center, Legal Medicine Organization</w:t>
      </w:r>
      <w:r>
        <w:rPr>
          <w:rFonts w:asciiTheme="majorBidi" w:hAnsiTheme="majorBidi" w:cstheme="majorBidi"/>
          <w:sz w:val="20"/>
          <w:szCs w:val="20"/>
          <w:lang w:bidi="fa-IR"/>
        </w:rPr>
        <w:t>,</w:t>
      </w:r>
      <w:r w:rsidRPr="0079598D">
        <w:rPr>
          <w:rFonts w:asciiTheme="majorBidi" w:hAnsiTheme="majorBidi" w:cstheme="majorBidi"/>
          <w:sz w:val="20"/>
          <w:szCs w:val="20"/>
          <w:lang w:bidi="fa-IR"/>
        </w:rPr>
        <w:t xml:space="preserve"> Tehran, Iran.</w:t>
      </w:r>
    </w:p>
    <w:p w:rsidR="00B93F72" w:rsidRPr="0079598D" w:rsidRDefault="00B93F72" w:rsidP="00B93F72">
      <w:pPr>
        <w:ind w:left="180"/>
        <w:rPr>
          <w:rFonts w:asciiTheme="majorBidi" w:hAnsiTheme="majorBidi" w:cstheme="majorBidi"/>
          <w:sz w:val="20"/>
          <w:szCs w:val="20"/>
          <w:lang w:bidi="fa-IR"/>
        </w:rPr>
      </w:pPr>
      <w:r>
        <w:rPr>
          <w:rFonts w:asciiTheme="majorBidi" w:hAnsiTheme="majorBidi" w:cstheme="majorBidi"/>
          <w:sz w:val="20"/>
          <w:szCs w:val="20"/>
        </w:rPr>
        <w:t>Mohammadsadegh Safvat</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w:t>
      </w:r>
      <w:r>
        <w:rPr>
          <w:rFonts w:asciiTheme="majorBidi" w:hAnsiTheme="majorBidi" w:cstheme="majorBidi"/>
          <w:sz w:val="20"/>
          <w:szCs w:val="20"/>
          <w:lang w:bidi="fa-IR"/>
        </w:rPr>
        <w:t>,</w:t>
      </w:r>
      <w:r w:rsidRPr="0079598D">
        <w:rPr>
          <w:rFonts w:asciiTheme="majorBidi" w:hAnsiTheme="majorBidi" w:cstheme="majorBidi"/>
          <w:sz w:val="20"/>
          <w:szCs w:val="20"/>
          <w:lang w:bidi="fa-IR"/>
        </w:rPr>
        <w:t xml:space="preserve"> Tehran, Iran.</w:t>
      </w:r>
    </w:p>
    <w:p w:rsidR="00B93F72" w:rsidRPr="0079598D" w:rsidRDefault="00B93F72" w:rsidP="00B93F72">
      <w:pPr>
        <w:ind w:left="180"/>
        <w:rPr>
          <w:rFonts w:asciiTheme="majorBidi" w:hAnsiTheme="majorBidi" w:cstheme="majorBidi"/>
          <w:sz w:val="20"/>
          <w:szCs w:val="20"/>
          <w:lang w:bidi="fa-IR"/>
        </w:rPr>
      </w:pPr>
      <w:r>
        <w:rPr>
          <w:rFonts w:asciiTheme="majorBidi" w:hAnsiTheme="majorBidi" w:cstheme="majorBidi"/>
          <w:sz w:val="20"/>
          <w:szCs w:val="20"/>
        </w:rPr>
        <w:t>Ehsan Javidnezhad</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w:t>
      </w:r>
      <w:r>
        <w:rPr>
          <w:rFonts w:asciiTheme="majorBidi" w:hAnsiTheme="majorBidi" w:cstheme="majorBidi"/>
          <w:sz w:val="20"/>
          <w:szCs w:val="20"/>
          <w:lang w:bidi="fa-IR"/>
        </w:rPr>
        <w:t>,</w:t>
      </w:r>
      <w:r w:rsidRPr="0079598D">
        <w:rPr>
          <w:rFonts w:asciiTheme="majorBidi" w:hAnsiTheme="majorBidi" w:cstheme="majorBidi"/>
          <w:sz w:val="20"/>
          <w:szCs w:val="20"/>
          <w:lang w:bidi="fa-IR"/>
        </w:rPr>
        <w:t xml:space="preserve"> Tehran, Iran.</w:t>
      </w:r>
    </w:p>
    <w:p w:rsidR="00B93F72" w:rsidRPr="0079598D" w:rsidRDefault="00B93F72" w:rsidP="00B93F72">
      <w:pPr>
        <w:pStyle w:val="BodyText"/>
        <w:spacing w:before="3"/>
        <w:ind w:left="180"/>
        <w:rPr>
          <w:rFonts w:ascii="Arial"/>
          <w:szCs w:val="14"/>
        </w:rPr>
      </w:pPr>
    </w:p>
    <w:p w:rsidR="00B93F72" w:rsidRDefault="00B93F72" w:rsidP="00B93F72">
      <w:pPr>
        <w:rPr>
          <w:rFonts w:ascii="Arial"/>
          <w:sz w:val="21"/>
        </w:rPr>
        <w:sectPr w:rsidR="00B93F72" w:rsidSect="00C77184">
          <w:headerReference w:type="default" r:id="rId5"/>
          <w:footerReference w:type="default" r:id="rId6"/>
          <w:pgSz w:w="11910" w:h="16840"/>
          <w:pgMar w:top="1740" w:right="600" w:bottom="840" w:left="620" w:header="541" w:footer="642" w:gutter="0"/>
          <w:cols w:space="720"/>
        </w:sectPr>
      </w:pPr>
    </w:p>
    <w:p w:rsidR="00B93F72" w:rsidRDefault="00B93F72" w:rsidP="00B93F72">
      <w:pPr>
        <w:pStyle w:val="Heading3"/>
        <w:spacing w:before="147"/>
        <w:jc w:val="both"/>
        <w:rPr>
          <w:color w:val="BF5A14"/>
        </w:rPr>
      </w:pPr>
      <w:r>
        <w:rPr>
          <w:color w:val="BF5A14"/>
        </w:rPr>
        <w:t xml:space="preserve">Abstract </w:t>
      </w:r>
    </w:p>
    <w:p w:rsidR="0099746D" w:rsidRDefault="0099746D" w:rsidP="00B93F72">
      <w:pPr>
        <w:pStyle w:val="BodyText"/>
        <w:jc w:val="both"/>
      </w:pPr>
      <w:bookmarkStart w:id="0" w:name="_GoBack"/>
      <w:r w:rsidRPr="0099746D">
        <w:t xml:space="preserve">Aluminum phosphide (ALP) is extremely lethal and ingestion of ALP is usually suicidal in intent, uncommonly accidental and homicidal. Here, we aim to present two cases of homicide with ALP which were detected based on clinical, para clinical and forensic findings as well as a using novel Nano sensor kit. Two cases of 70 and 32 years old women with clinical signs of acute poisoning such as vomiting, diarrhea, low consciousness, low blood pressure, metabolic acidosis, low Hb levels and, severe coagulation disorders were admitted to hospital and in spite of performed treatments, they died after 24 and 48 hours. Cyanosis, brain and lung congestion and edema, congestion of the gastric mucosa, slight sub arachnoid hemorrhage, </w:t>
      </w:r>
      <w:proofErr w:type="gramStart"/>
      <w:r w:rsidRPr="0099746D">
        <w:t>mild</w:t>
      </w:r>
      <w:proofErr w:type="gramEnd"/>
      <w:r w:rsidRPr="0099746D">
        <w:t xml:space="preserve"> necrosis of the kidney tissue were autopsy and pathologic finding in two cases. Biological samples including visceral organs such as heart, lung, kidney, liver, brain, blood, bile, and gastric contents from victims were referred to forensic pathology and toxicology laboratories. In 70 years old woman’s samples, phosphine was detected in gastric content and food sample using silver nitrate and head space Gas chromatography mass spectroscopy with NPD detector. In organ tissue samples phosphine was not detected by silver nitrate and GC-NPD. About 32 years old woman, also phosphine was detected in gastric contents and food sample with silver nitrate and HS-GC-NPD detector; however, in blood sample, organ tissue samples, phosphine was not detected. Besides routine toxicology methods, Nano sensor kit for detection of phosphine was applied and could detect the phosphine in tissue and food samples of the victims. Novel Nano detector of phosphine detected phosphine in visceral organs, blood and food sample of 32 years old woman and also in food sample of 70 years old woman. The strength point of this novel Nano kit was very fast detection as well as high sensitivity for phosphine. Same as previous trials of this Nano kit, it cloud detect the availability of phosphine in mentioned samples in early seconds of exposure. In this trial study we found the strength and fast response of Nano sensor for detection of phosphine compatible with the results of gold standard method of HS-GC-NPD and silver nitrate method. Finally, based on clinical and Para clinical findings of the victims as well </w:t>
      </w:r>
      <w:r w:rsidRPr="0099746D">
        <w:t>as autopsy, pathologic and forensic toxicology results, the cause of death for these two victims were reported fatal poisoning with ALP</w:t>
      </w:r>
      <w:bookmarkEnd w:id="0"/>
      <w:r w:rsidRPr="0099746D">
        <w:t>.</w:t>
      </w:r>
    </w:p>
    <w:p w:rsidR="00B93F72" w:rsidRDefault="00B93F72" w:rsidP="00B93F72">
      <w:pPr>
        <w:pStyle w:val="BodyText"/>
        <w:jc w:val="both"/>
        <w:rPr>
          <w:rFonts w:ascii="Arial"/>
          <w:b/>
          <w:sz w:val="20"/>
        </w:rPr>
      </w:pPr>
      <w:r>
        <w:rPr>
          <w:rFonts w:ascii="Arial"/>
          <w:b/>
          <w:color w:val="BF5A14"/>
          <w:sz w:val="20"/>
        </w:rPr>
        <w:t xml:space="preserve">Recent Publications </w:t>
      </w:r>
    </w:p>
    <w:p w:rsidR="00B93F72" w:rsidRPr="00494336" w:rsidRDefault="00B93F72" w:rsidP="00B93F72">
      <w:pPr>
        <w:pStyle w:val="ListParagraph"/>
        <w:numPr>
          <w:ilvl w:val="0"/>
          <w:numId w:val="1"/>
        </w:numPr>
        <w:tabs>
          <w:tab w:val="left" w:pos="384"/>
        </w:tabs>
        <w:spacing w:line="216" w:lineRule="exact"/>
        <w:ind w:right="137" w:hanging="283"/>
        <w:rPr>
          <w:spacing w:val="-4"/>
          <w:sz w:val="18"/>
        </w:rPr>
      </w:pPr>
      <w:r w:rsidRPr="00494336">
        <w:rPr>
          <w:spacing w:val="-4"/>
          <w:sz w:val="18"/>
        </w:rPr>
        <w:t>Saeid Gholamzadeh M, Mohammad Zarenezhad, MD, PhD</w:t>
      </w:r>
      <w:r w:rsidRPr="00494336">
        <w:rPr>
          <w:rFonts w:ascii="Cambria Math" w:hAnsi="Cambria Math" w:cs="Cambria Math"/>
          <w:spacing w:val="-4"/>
          <w:sz w:val="18"/>
        </w:rPr>
        <w:t>∗</w:t>
      </w:r>
      <w:r w:rsidRPr="00494336">
        <w:rPr>
          <w:spacing w:val="-4"/>
          <w:sz w:val="18"/>
        </w:rPr>
        <w:t xml:space="preserve"> , Mahmoud Montazeri, MD, Marzieh Zareikordshooli, MS in Law, Ghazaleh Sadeghi, MS in Law, Abdorrasoul Malekpour, DVM, Sanaz </w:t>
      </w:r>
      <w:proofErr w:type="spellStart"/>
      <w:r w:rsidRPr="00494336">
        <w:rPr>
          <w:spacing w:val="-4"/>
          <w:sz w:val="18"/>
        </w:rPr>
        <w:t>Hoseni</w:t>
      </w:r>
      <w:proofErr w:type="spellEnd"/>
      <w:r w:rsidRPr="00494336">
        <w:rPr>
          <w:spacing w:val="-4"/>
          <w:sz w:val="18"/>
        </w:rPr>
        <w:t>, Medical Student, Mohammadreza Bahrani, MD, Razieh Hajatmand, MD. Statistical Analysis of Organ Morphometric Parameters and Weights in South Iranian Adult Autopsies. Medicine. 2017</w:t>
      </w:r>
      <w:proofErr w:type="gramStart"/>
      <w:r w:rsidRPr="00494336">
        <w:rPr>
          <w:spacing w:val="-4"/>
          <w:sz w:val="18"/>
        </w:rPr>
        <w:t>;96</w:t>
      </w:r>
      <w:proofErr w:type="gramEnd"/>
      <w:r w:rsidRPr="00494336">
        <w:rPr>
          <w:spacing w:val="-4"/>
          <w:sz w:val="18"/>
        </w:rPr>
        <w:t>(21):e6447.</w:t>
      </w:r>
    </w:p>
    <w:p w:rsidR="00B93F72" w:rsidRDefault="00B93F72" w:rsidP="00B93F72">
      <w:pPr>
        <w:pStyle w:val="ListParagraph"/>
        <w:numPr>
          <w:ilvl w:val="0"/>
          <w:numId w:val="1"/>
        </w:numPr>
        <w:tabs>
          <w:tab w:val="left" w:pos="384"/>
        </w:tabs>
        <w:spacing w:line="216" w:lineRule="exact"/>
        <w:ind w:right="138"/>
        <w:rPr>
          <w:sz w:val="18"/>
        </w:rPr>
      </w:pPr>
      <w:r w:rsidRPr="00494336">
        <w:rPr>
          <w:sz w:val="18"/>
        </w:rPr>
        <w:t>Hosseini M, Khoshnoud R, Gholamzadeh S, Naseri G, Tarian T, Malekpour A, et al. A Case Report of Suicide with Chloroquine Overdose and Review of Literature. Journal of Fasa University of Medical Sciences. 2016</w:t>
      </w:r>
      <w:proofErr w:type="gramStart"/>
      <w:r w:rsidRPr="00494336">
        <w:rPr>
          <w:sz w:val="18"/>
        </w:rPr>
        <w:t>;6</w:t>
      </w:r>
      <w:proofErr w:type="gramEnd"/>
      <w:r w:rsidRPr="00494336">
        <w:rPr>
          <w:sz w:val="18"/>
        </w:rPr>
        <w:t>(2):133-7.</w:t>
      </w:r>
    </w:p>
    <w:p w:rsidR="00B93F72" w:rsidRPr="00F00D5F" w:rsidRDefault="00B93F72" w:rsidP="00B93F72">
      <w:pPr>
        <w:pStyle w:val="ListParagraph"/>
        <w:numPr>
          <w:ilvl w:val="0"/>
          <w:numId w:val="1"/>
        </w:numPr>
        <w:tabs>
          <w:tab w:val="left" w:pos="384"/>
        </w:tabs>
        <w:spacing w:before="85" w:line="216" w:lineRule="exact"/>
        <w:ind w:right="138"/>
      </w:pPr>
      <w:r w:rsidRPr="00045332">
        <w:rPr>
          <w:sz w:val="18"/>
        </w:rPr>
        <w:t>Maryam Hosseini HA, Abdorrasoul Malekpour, Tahereh Tarian, Asiyeh Hashemi, Reza Khoshnoud1, Saeid Gholamzadeh, Mohammad Zarenezhad. Modified Solid Phase Extraction of Organophosphorus Pesticides; Report of Two Cases of Suicides. International Journal of Pharmacy and Biological Sciences. 2016</w:t>
      </w:r>
      <w:proofErr w:type="gramStart"/>
      <w:r w:rsidRPr="00045332">
        <w:rPr>
          <w:sz w:val="18"/>
        </w:rPr>
        <w:t>;6</w:t>
      </w:r>
      <w:proofErr w:type="gramEnd"/>
      <w:r w:rsidRPr="00045332">
        <w:rPr>
          <w:sz w:val="18"/>
        </w:rPr>
        <w:t>(3):74-7.</w:t>
      </w:r>
    </w:p>
    <w:p w:rsidR="00B93F72" w:rsidRPr="00F00D5F" w:rsidRDefault="00B93F72" w:rsidP="00B93F72">
      <w:pPr>
        <w:pStyle w:val="ListParagraph"/>
        <w:numPr>
          <w:ilvl w:val="0"/>
          <w:numId w:val="1"/>
        </w:numPr>
        <w:tabs>
          <w:tab w:val="left" w:pos="384"/>
        </w:tabs>
        <w:spacing w:before="85" w:line="216" w:lineRule="exact"/>
        <w:ind w:right="138"/>
        <w:rPr>
          <w:sz w:val="18"/>
        </w:rPr>
      </w:pPr>
      <w:r w:rsidRPr="00F00D5F">
        <w:rPr>
          <w:sz w:val="18"/>
        </w:rPr>
        <w:t>Mortazavi M, Zarenezhad M, Gholamzadeh S, Alavian SM, Ghorbani M, Dehghani R, et al. Bioinformatic Identification of Rare Codon Clusters (RCCs) in HBV Genome and Evaluation of RCCs in Proteins Structure of Hepatitis B Virus. Hepatitis monthly. 2016</w:t>
      </w:r>
      <w:proofErr w:type="gramStart"/>
      <w:r w:rsidRPr="00F00D5F">
        <w:rPr>
          <w:sz w:val="18"/>
        </w:rPr>
        <w:t>;16</w:t>
      </w:r>
      <w:proofErr w:type="gramEnd"/>
      <w:r w:rsidRPr="00F00D5F">
        <w:rPr>
          <w:sz w:val="18"/>
        </w:rPr>
        <w:t>(10).</w:t>
      </w:r>
    </w:p>
    <w:p w:rsidR="00B93F72" w:rsidRPr="00496E6D" w:rsidRDefault="00B93F72" w:rsidP="00B93F72">
      <w:pPr>
        <w:pStyle w:val="ListParagraph"/>
        <w:numPr>
          <w:ilvl w:val="0"/>
          <w:numId w:val="1"/>
        </w:numPr>
        <w:tabs>
          <w:tab w:val="left" w:pos="384"/>
        </w:tabs>
        <w:spacing w:before="85" w:line="216" w:lineRule="exact"/>
        <w:ind w:right="138"/>
        <w:rPr>
          <w:sz w:val="18"/>
        </w:rPr>
      </w:pPr>
      <w:r w:rsidRPr="00F00D5F">
        <w:rPr>
          <w:sz w:val="18"/>
        </w:rPr>
        <w:t>Mortazavi M, Zarenezhad M, Alavian SM, Gholamzadeh S,</w:t>
      </w:r>
      <w:r w:rsidRPr="00496E6D">
        <w:rPr>
          <w:sz w:val="18"/>
        </w:rPr>
        <w:t xml:space="preserve"> Malekpour A, Ghorbani M, et al. Bioinformatic Analysis of Codon Usage and Phylogenetic Relationships in Different Genotypes of the Hepatitis C Virus. Hepatitis monthly. 2016</w:t>
      </w:r>
      <w:proofErr w:type="gramStart"/>
      <w:r w:rsidRPr="00496E6D">
        <w:rPr>
          <w:sz w:val="18"/>
        </w:rPr>
        <w:t>;16</w:t>
      </w:r>
      <w:proofErr w:type="gramEnd"/>
      <w:r w:rsidRPr="00496E6D">
        <w:rPr>
          <w:sz w:val="18"/>
        </w:rPr>
        <w:t>(10).</w:t>
      </w:r>
    </w:p>
    <w:p w:rsidR="00B93F72" w:rsidRDefault="00B93F72" w:rsidP="00B93F72">
      <w:pPr>
        <w:pStyle w:val="ListParagraph"/>
        <w:numPr>
          <w:ilvl w:val="0"/>
          <w:numId w:val="1"/>
        </w:numPr>
        <w:tabs>
          <w:tab w:val="left" w:pos="384"/>
        </w:tabs>
        <w:spacing w:before="85" w:line="216" w:lineRule="exact"/>
        <w:ind w:right="138"/>
        <w:sectPr w:rsidR="00B93F72">
          <w:type w:val="continuous"/>
          <w:pgSz w:w="11910" w:h="16840"/>
          <w:pgMar w:top="1740" w:right="600" w:bottom="840" w:left="620" w:header="720" w:footer="720" w:gutter="0"/>
          <w:cols w:num="2" w:space="720" w:equalWidth="0">
            <w:col w:w="5214" w:space="138"/>
            <w:col w:w="5338"/>
          </w:cols>
        </w:sectPr>
      </w:pPr>
    </w:p>
    <w:p w:rsidR="00B93F72" w:rsidRDefault="00B93F72" w:rsidP="00B93F72">
      <w:pPr>
        <w:pStyle w:val="BodyText"/>
        <w:spacing w:line="40" w:lineRule="exact"/>
        <w:ind w:left="2202"/>
        <w:rPr>
          <w:rFonts w:ascii="Calibri"/>
          <w:sz w:val="4"/>
        </w:rPr>
      </w:pPr>
      <w:r>
        <w:rPr>
          <w:rFonts w:ascii="Calibri"/>
          <w:noProof/>
          <w:sz w:val="4"/>
        </w:rPr>
        <mc:AlternateContent>
          <mc:Choice Requires="wpg">
            <w:drawing>
              <wp:inline distT="0" distB="0" distL="0" distR="0" wp14:anchorId="3A7A3144" wp14:editId="7CC0CF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BB1B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93F72" w:rsidRDefault="00B93F72" w:rsidP="00B93F72">
      <w:pPr>
        <w:spacing w:before="92"/>
        <w:ind w:right="4234"/>
        <w:rPr>
          <w:rFonts w:ascii="Arial"/>
        </w:rPr>
      </w:pPr>
      <w:r>
        <w:rPr>
          <w:noProof/>
        </w:rPr>
        <w:t xml:space="preserve">              </w:t>
      </w:r>
      <w:r>
        <w:rPr>
          <w:rFonts w:ascii="Arial"/>
          <w:color w:val="BF5A14"/>
        </w:rPr>
        <w:t>Biography (150 word limit)</w:t>
      </w:r>
    </w:p>
    <w:p w:rsidR="00B93F72" w:rsidRDefault="00B93F72" w:rsidP="00B93F72">
      <w:pPr>
        <w:spacing w:before="41" w:line="154" w:lineRule="exact"/>
        <w:ind w:left="213" w:right="231"/>
        <w:jc w:val="both"/>
        <w:rPr>
          <w:rFonts w:ascii="Arial"/>
          <w:sz w:val="14"/>
        </w:rPr>
      </w:pPr>
      <w:r>
        <w:rPr>
          <w:rFonts w:ascii="Arial"/>
          <w:sz w:val="14"/>
        </w:rPr>
        <w:t xml:space="preserve">The authors of this study have developed their expertise in forensic medicine and forensic toxicology. They improved new detective methods for detection of trace elements and toxic agents in biological samples. </w:t>
      </w:r>
    </w:p>
    <w:p w:rsidR="00B93F72" w:rsidRDefault="00B93F72" w:rsidP="00B93F72">
      <w:pPr>
        <w:spacing w:before="62"/>
        <w:ind w:left="4217" w:right="4030"/>
        <w:jc w:val="center"/>
        <w:rPr>
          <w:rFonts w:ascii="Arial"/>
          <w:sz w:val="14"/>
        </w:rPr>
      </w:pPr>
      <w:r>
        <w:rPr>
          <w:rFonts w:ascii="Arial"/>
          <w:sz w:val="14"/>
        </w:rPr>
        <w:t xml:space="preserve">Email: </w:t>
      </w:r>
      <w:hyperlink r:id="rId7" w:history="1">
        <w:r w:rsidRPr="00591AA3">
          <w:rPr>
            <w:rStyle w:val="Hyperlink"/>
            <w:rFonts w:ascii="Arial"/>
            <w:sz w:val="14"/>
          </w:rPr>
          <w:t>farslegalmedicine@gmail.com</w:t>
        </w:r>
      </w:hyperlink>
    </w:p>
    <w:p w:rsidR="00B93F72" w:rsidRDefault="00B93F72" w:rsidP="00B93F72">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0BE90EE1" wp14:editId="06EC8F9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6486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93F72" w:rsidRDefault="00B93F72" w:rsidP="00B93F72">
      <w:pPr>
        <w:pStyle w:val="BodyText"/>
        <w:rPr>
          <w:rFonts w:ascii="Arial"/>
          <w:sz w:val="20"/>
        </w:rPr>
      </w:pPr>
    </w:p>
    <w:p w:rsidR="00B93F72" w:rsidRDefault="00B93F72" w:rsidP="00B93F72">
      <w:pPr>
        <w:pStyle w:val="BodyText"/>
        <w:rPr>
          <w:rFonts w:ascii="Arial"/>
          <w:sz w:val="20"/>
        </w:rPr>
      </w:pPr>
    </w:p>
    <w:p w:rsidR="00B93F72" w:rsidRDefault="00B93F72" w:rsidP="00B93F72">
      <w:pPr>
        <w:pStyle w:val="BodyText"/>
        <w:spacing w:before="7"/>
        <w:rPr>
          <w:rFonts w:ascii="Arial"/>
          <w:sz w:val="29"/>
        </w:rPr>
      </w:pPr>
    </w:p>
    <w:p w:rsidR="00B93F72" w:rsidRPr="00B21A57" w:rsidRDefault="00B93F72" w:rsidP="00B93F72">
      <w:pPr>
        <w:spacing w:before="39"/>
        <w:ind w:left="100"/>
        <w:rPr>
          <w:rFonts w:ascii="Minion Pro"/>
          <w:b/>
          <w:sz w:val="20"/>
        </w:rPr>
      </w:pPr>
      <w:r w:rsidRPr="00B21A57">
        <w:rPr>
          <w:rFonts w:ascii="Minion Pro"/>
          <w:b/>
          <w:sz w:val="20"/>
        </w:rPr>
        <w:t>Notes/Comments:</w:t>
      </w:r>
    </w:p>
    <w:p w:rsidR="00B93F72" w:rsidRDefault="00B93F72" w:rsidP="00B93F72">
      <w:pPr>
        <w:rPr>
          <w:rFonts w:ascii="Minion Pro"/>
          <w:sz w:val="24"/>
        </w:rPr>
        <w:sectPr w:rsidR="00B93F72">
          <w:type w:val="continuous"/>
          <w:pgSz w:w="11910" w:h="16840"/>
          <w:pgMar w:top="1740" w:right="600" w:bottom="840" w:left="620" w:header="720" w:footer="720" w:gutter="0"/>
          <w:cols w:space="720"/>
        </w:sectPr>
      </w:pPr>
    </w:p>
    <w:p w:rsidR="00B93F72" w:rsidRDefault="00B93F72" w:rsidP="00B93F72">
      <w:pPr>
        <w:pStyle w:val="BodyText"/>
        <w:spacing w:before="3"/>
        <w:rPr>
          <w:rFonts w:ascii="Minion Pro"/>
          <w:sz w:val="26"/>
        </w:rPr>
      </w:pPr>
    </w:p>
    <w:p w:rsidR="00B93F72" w:rsidRDefault="00B93F72" w:rsidP="00B93F72"/>
    <w:p w:rsidR="00B93F72" w:rsidRDefault="00B93F72" w:rsidP="00B93F72"/>
    <w:p w:rsidR="003F55BF" w:rsidRDefault="003F55BF"/>
    <w:sectPr w:rsidR="003F55BF"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E4C0C">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B59A0F8" wp14:editId="188127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4C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4C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9A0F8"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E4C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4C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DCDB3AE" wp14:editId="4772D3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4C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4C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DB3A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E4C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4C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B2CC065" wp14:editId="1EDDA9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4C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4C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C065"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E4C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4C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E4C0C">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25011AE" wp14:editId="44C3125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4C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011A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E4C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AA323B8" wp14:editId="2F9DFF5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4C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4C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323B8"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E4C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4C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F72"/>
    <w:rsid w:val="003E4C0C"/>
    <w:rsid w:val="003F55BF"/>
    <w:rsid w:val="0079696D"/>
    <w:rsid w:val="007C007D"/>
    <w:rsid w:val="008C41C5"/>
    <w:rsid w:val="0099746D"/>
    <w:rsid w:val="00B93F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31CE3-9346-43C6-BE61-F506EC61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3F72"/>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B93F7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93F72"/>
    <w:rPr>
      <w:rFonts w:ascii="Arial" w:eastAsia="Arial" w:hAnsi="Arial" w:cs="Arial"/>
      <w:b/>
      <w:bCs/>
      <w:sz w:val="20"/>
      <w:szCs w:val="20"/>
    </w:rPr>
  </w:style>
  <w:style w:type="paragraph" w:styleId="BodyText">
    <w:name w:val="Body Text"/>
    <w:basedOn w:val="Normal"/>
    <w:link w:val="BodyTextChar"/>
    <w:uiPriority w:val="1"/>
    <w:qFormat/>
    <w:rsid w:val="00B93F72"/>
    <w:rPr>
      <w:sz w:val="18"/>
      <w:szCs w:val="18"/>
    </w:rPr>
  </w:style>
  <w:style w:type="character" w:customStyle="1" w:styleId="BodyTextChar">
    <w:name w:val="Body Text Char"/>
    <w:basedOn w:val="DefaultParagraphFont"/>
    <w:link w:val="BodyText"/>
    <w:uiPriority w:val="1"/>
    <w:rsid w:val="00B93F72"/>
    <w:rPr>
      <w:rFonts w:ascii="Tw Cen MT" w:eastAsia="Tw Cen MT" w:hAnsi="Tw Cen MT" w:cs="Tw Cen MT"/>
      <w:sz w:val="18"/>
      <w:szCs w:val="18"/>
    </w:rPr>
  </w:style>
  <w:style w:type="paragraph" w:styleId="ListParagraph">
    <w:name w:val="List Paragraph"/>
    <w:basedOn w:val="Normal"/>
    <w:uiPriority w:val="1"/>
    <w:qFormat/>
    <w:rsid w:val="00B93F7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B93F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rslegalmedic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2017-08-22T11:47:00Z</dcterms:created>
  <dcterms:modified xsi:type="dcterms:W3CDTF">2017-08-22T11:50:00Z</dcterms:modified>
</cp:coreProperties>
</file>