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2810" w:rsidRDefault="003B2810" w:rsidP="003B2810">
      <w:pPr>
        <w:ind w:left="180"/>
        <w:rPr>
          <w:rFonts w:ascii="Minion Pro" w:eastAsia="Minion Pro" w:hAnsi="Minion Pro" w:cs="Minion Pro"/>
          <w:b/>
          <w:bCs/>
          <w:color w:val="337AB7"/>
          <w:sz w:val="36"/>
          <w:szCs w:val="36"/>
        </w:rPr>
      </w:pPr>
      <w:r w:rsidRPr="003B2810">
        <w:rPr>
          <w:rFonts w:ascii="Minion Pro" w:eastAsia="Minion Pro" w:hAnsi="Minion Pro" w:cs="Minion Pro"/>
          <w:b/>
          <w:bCs/>
          <w:color w:val="337AB7"/>
          <w:sz w:val="36"/>
          <w:szCs w:val="36"/>
        </w:rPr>
        <w:t>Clinical and autopsy findings of fatal poisoning with Datura seed</w:t>
      </w:r>
    </w:p>
    <w:p w:rsidR="003B2810" w:rsidRPr="0079598D" w:rsidRDefault="003B2810" w:rsidP="003B2810">
      <w:pPr>
        <w:ind w:left="180"/>
        <w:rPr>
          <w:rFonts w:asciiTheme="majorBidi" w:hAnsiTheme="majorBidi" w:cstheme="majorBidi"/>
          <w:sz w:val="20"/>
          <w:szCs w:val="20"/>
          <w:lang w:bidi="fa-IR"/>
        </w:rPr>
      </w:pPr>
      <w:r w:rsidRPr="0079598D">
        <w:rPr>
          <w:rFonts w:asciiTheme="majorBidi" w:hAnsiTheme="majorBidi" w:cstheme="majorBidi"/>
          <w:sz w:val="20"/>
          <w:szCs w:val="20"/>
        </w:rPr>
        <w:t xml:space="preserve">Abdorrasoul Malekpour, </w:t>
      </w:r>
      <w:r w:rsidRPr="0079598D">
        <w:rPr>
          <w:rFonts w:asciiTheme="majorBidi" w:hAnsiTheme="majorBidi" w:cstheme="majorBidi"/>
          <w:sz w:val="20"/>
          <w:szCs w:val="20"/>
          <w:lang w:bidi="fa-IR"/>
        </w:rPr>
        <w:t>Legal Medicine Research Center, Legal Medicine Organization. Tehran, Iran.</w:t>
      </w:r>
    </w:p>
    <w:p w:rsidR="00C77184" w:rsidRPr="0079598D" w:rsidRDefault="00C77184" w:rsidP="00C77184">
      <w:pPr>
        <w:ind w:left="180"/>
        <w:rPr>
          <w:rFonts w:asciiTheme="majorBidi" w:hAnsiTheme="majorBidi" w:cstheme="majorBidi"/>
          <w:sz w:val="20"/>
          <w:szCs w:val="20"/>
          <w:lang w:bidi="fa-IR"/>
        </w:rPr>
      </w:pPr>
      <w:r w:rsidRPr="0079598D">
        <w:rPr>
          <w:rFonts w:asciiTheme="majorBidi" w:hAnsiTheme="majorBidi" w:cstheme="majorBidi"/>
          <w:sz w:val="20"/>
          <w:szCs w:val="20"/>
        </w:rPr>
        <w:t xml:space="preserve">Saeid Gholamzadeh, </w:t>
      </w:r>
      <w:r w:rsidRPr="0079598D">
        <w:rPr>
          <w:rFonts w:asciiTheme="majorBidi" w:hAnsiTheme="majorBidi" w:cstheme="majorBidi"/>
          <w:sz w:val="20"/>
          <w:szCs w:val="20"/>
          <w:lang w:bidi="fa-IR"/>
        </w:rPr>
        <w:t>Legal Medicine Research Center, Legal Medicine Organization. Tehran, Iran.</w:t>
      </w:r>
    </w:p>
    <w:p w:rsidR="00C77184" w:rsidRPr="0079598D" w:rsidRDefault="00C77184" w:rsidP="00C77184">
      <w:pPr>
        <w:ind w:left="180"/>
        <w:rPr>
          <w:rFonts w:asciiTheme="majorBidi" w:hAnsiTheme="majorBidi" w:cstheme="majorBidi"/>
          <w:sz w:val="20"/>
          <w:szCs w:val="20"/>
          <w:lang w:bidi="fa-IR"/>
        </w:rPr>
      </w:pPr>
      <w:r w:rsidRPr="0079598D">
        <w:rPr>
          <w:rFonts w:asciiTheme="majorBidi" w:hAnsiTheme="majorBidi" w:cstheme="majorBidi"/>
          <w:sz w:val="20"/>
          <w:szCs w:val="20"/>
        </w:rPr>
        <w:t xml:space="preserve">Reza Khoshnoud, </w:t>
      </w:r>
      <w:r w:rsidRPr="0079598D">
        <w:rPr>
          <w:rFonts w:asciiTheme="majorBidi" w:hAnsiTheme="majorBidi" w:cstheme="majorBidi"/>
          <w:sz w:val="20"/>
          <w:szCs w:val="20"/>
          <w:lang w:bidi="fa-IR"/>
        </w:rPr>
        <w:t>Legal Medicine Research Center, Legal Medicine Organization. Tehran, Iran.</w:t>
      </w:r>
    </w:p>
    <w:p w:rsidR="00C77184" w:rsidRPr="0079598D" w:rsidRDefault="003B2810" w:rsidP="00C77184">
      <w:pPr>
        <w:ind w:left="180"/>
        <w:rPr>
          <w:rFonts w:asciiTheme="majorBidi" w:hAnsiTheme="majorBidi" w:cstheme="majorBidi"/>
          <w:sz w:val="20"/>
          <w:szCs w:val="20"/>
          <w:lang w:bidi="fa-IR"/>
        </w:rPr>
      </w:pPr>
      <w:r>
        <w:rPr>
          <w:rFonts w:asciiTheme="majorBidi" w:hAnsiTheme="majorBidi" w:cstheme="majorBidi"/>
          <w:sz w:val="20"/>
          <w:szCs w:val="20"/>
        </w:rPr>
        <w:t>Mohammadsadegh Safvat</w:t>
      </w:r>
      <w:r w:rsidR="00C77184" w:rsidRPr="0079598D">
        <w:rPr>
          <w:rFonts w:asciiTheme="majorBidi" w:hAnsiTheme="majorBidi" w:cstheme="majorBidi"/>
          <w:sz w:val="20"/>
          <w:szCs w:val="20"/>
        </w:rPr>
        <w:t xml:space="preserve">, </w:t>
      </w:r>
      <w:r w:rsidR="00C77184" w:rsidRPr="0079598D">
        <w:rPr>
          <w:rFonts w:asciiTheme="majorBidi" w:hAnsiTheme="majorBidi" w:cstheme="majorBidi"/>
          <w:sz w:val="20"/>
          <w:szCs w:val="20"/>
          <w:lang w:bidi="fa-IR"/>
        </w:rPr>
        <w:t>Legal Medicine Research Center, Legal Medicine Organization. Tehran, Iran.</w:t>
      </w:r>
    </w:p>
    <w:p w:rsidR="00C77184" w:rsidRPr="0079598D" w:rsidRDefault="00C77184" w:rsidP="00C77184">
      <w:pPr>
        <w:ind w:left="180"/>
        <w:rPr>
          <w:rFonts w:asciiTheme="majorBidi" w:hAnsiTheme="majorBidi" w:cstheme="majorBidi"/>
          <w:sz w:val="20"/>
          <w:szCs w:val="20"/>
          <w:lang w:bidi="fa-IR"/>
        </w:rPr>
      </w:pPr>
      <w:r>
        <w:rPr>
          <w:rFonts w:asciiTheme="majorBidi" w:hAnsiTheme="majorBidi" w:cstheme="majorBidi"/>
          <w:sz w:val="20"/>
          <w:szCs w:val="20"/>
        </w:rPr>
        <w:t>Ehsan Javidnezhad</w:t>
      </w:r>
      <w:r w:rsidRPr="0079598D">
        <w:rPr>
          <w:rFonts w:asciiTheme="majorBidi" w:hAnsiTheme="majorBidi" w:cstheme="majorBidi"/>
          <w:sz w:val="20"/>
          <w:szCs w:val="20"/>
        </w:rPr>
        <w:t xml:space="preserve">, </w:t>
      </w:r>
      <w:r w:rsidRPr="0079598D">
        <w:rPr>
          <w:rFonts w:asciiTheme="majorBidi" w:hAnsiTheme="majorBidi" w:cstheme="majorBidi"/>
          <w:sz w:val="20"/>
          <w:szCs w:val="20"/>
          <w:lang w:bidi="fa-IR"/>
        </w:rPr>
        <w:t>Legal Medicine Research Center, Legal Medicine Organization. Tehran, Iran.</w:t>
      </w:r>
    </w:p>
    <w:p w:rsidR="00C77184" w:rsidRPr="0079598D" w:rsidRDefault="00C77184" w:rsidP="00C77184">
      <w:pPr>
        <w:pStyle w:val="BodyText"/>
        <w:spacing w:before="3"/>
        <w:ind w:left="180"/>
        <w:rPr>
          <w:rFonts w:ascii="Arial"/>
          <w:szCs w:val="14"/>
        </w:rPr>
      </w:pPr>
    </w:p>
    <w:p w:rsidR="00C77184" w:rsidRDefault="00C77184" w:rsidP="00C77184">
      <w:pPr>
        <w:rPr>
          <w:rFonts w:ascii="Arial"/>
          <w:sz w:val="21"/>
        </w:rPr>
        <w:sectPr w:rsidR="00C77184" w:rsidSect="00C77184">
          <w:headerReference w:type="default" r:id="rId5"/>
          <w:footerReference w:type="default" r:id="rId6"/>
          <w:pgSz w:w="11910" w:h="16840"/>
          <w:pgMar w:top="1740" w:right="600" w:bottom="840" w:left="620" w:header="541" w:footer="642" w:gutter="0"/>
          <w:cols w:space="720"/>
        </w:sectPr>
      </w:pPr>
    </w:p>
    <w:p w:rsidR="00C77184" w:rsidRDefault="00C77184" w:rsidP="00C77184">
      <w:pPr>
        <w:pStyle w:val="Heading3"/>
        <w:spacing w:before="147"/>
        <w:jc w:val="both"/>
        <w:rPr>
          <w:color w:val="BF5A14"/>
        </w:rPr>
      </w:pPr>
      <w:r>
        <w:rPr>
          <w:color w:val="BF5A14"/>
        </w:rPr>
        <w:t xml:space="preserve">Abstract </w:t>
      </w:r>
    </w:p>
    <w:p w:rsidR="00496E6D" w:rsidRDefault="00496E6D" w:rsidP="00496E6D">
      <w:pPr>
        <w:pStyle w:val="BodyText"/>
        <w:jc w:val="both"/>
      </w:pPr>
      <w:r w:rsidRPr="00496E6D">
        <w:t>Datura plants cause poisoning in addition to properties and therapeutic applications in consumer and contain hyoscine, hyoscyamine, scopolamine and atropine muscarinic receptors blocks peripheral and central anticholinergic properties respectively. In this report, a case of death due to poisoning by eating Datura seeds diagnosed with poisoning and autopsy is presented. 24-year-old man after taking Datura seeds in order to benefit from the Datura plant some health benefits such as fatigue, headaches and back pain and an unspecified amount and showed symptoms of alertness, lower blood pressure and reduced sensory reflexes to treat will be transferred to the hospital. Hematuria other clinical signs and symptoms of bleeding in the digestive system were revealed. Despite the use of the treatments such as blood transfusions and medications including benzodiazepines, these treatments were not effective, and death came to him. Necropsy findings included yellowing of the skin, pallor, bleeding, bleeding under the conjunctiva, jaundice in the sclera, signs of restoration in the chest, and minor scratches and a bruise on the right side and parallel to the surface of the abdomen and waist were observed. Traces of blood out of the penis was also found. Finally considering the history of consuming the Datura seed, clinical and para clinical findings as well as necropsy findings with GC-MS confirmation of availability of hyoscine, hyoscyamine, scopolamine in victim’s blood, the cause of death for him was reported poisoning with Datura seeds.</w:t>
      </w:r>
    </w:p>
    <w:p w:rsidR="00C77184" w:rsidRDefault="00C77184" w:rsidP="00496E6D">
      <w:pPr>
        <w:pStyle w:val="BodyText"/>
        <w:jc w:val="both"/>
        <w:rPr>
          <w:rFonts w:ascii="Arial"/>
          <w:b/>
          <w:sz w:val="20"/>
        </w:rPr>
      </w:pPr>
      <w:r w:rsidRPr="004A77D2">
        <w:br/>
      </w:r>
      <w:r>
        <w:rPr>
          <w:rFonts w:ascii="Arial"/>
          <w:b/>
          <w:color w:val="BF5A14"/>
          <w:sz w:val="20"/>
        </w:rPr>
        <w:t xml:space="preserve">Recent Publications </w:t>
      </w:r>
    </w:p>
    <w:p w:rsidR="00C77184" w:rsidRPr="00494336" w:rsidRDefault="00C77184" w:rsidP="00C77184">
      <w:pPr>
        <w:pStyle w:val="ListParagraph"/>
        <w:numPr>
          <w:ilvl w:val="0"/>
          <w:numId w:val="1"/>
        </w:numPr>
        <w:tabs>
          <w:tab w:val="left" w:pos="384"/>
        </w:tabs>
        <w:spacing w:line="216" w:lineRule="exact"/>
        <w:ind w:right="137" w:hanging="283"/>
        <w:rPr>
          <w:spacing w:val="-4"/>
          <w:sz w:val="18"/>
        </w:rPr>
      </w:pPr>
      <w:r w:rsidRPr="00494336">
        <w:rPr>
          <w:spacing w:val="-4"/>
          <w:sz w:val="18"/>
        </w:rPr>
        <w:t>Saeid Gholamzadeh M, Mohammad Zarenezhad, MD, PhD</w:t>
      </w:r>
      <w:r w:rsidRPr="00494336">
        <w:rPr>
          <w:rFonts w:ascii="Cambria Math" w:hAnsi="Cambria Math" w:cs="Cambria Math"/>
          <w:spacing w:val="-4"/>
          <w:sz w:val="18"/>
        </w:rPr>
        <w:t>∗</w:t>
      </w:r>
      <w:r w:rsidRPr="00494336">
        <w:rPr>
          <w:spacing w:val="-4"/>
          <w:sz w:val="18"/>
        </w:rPr>
        <w:t xml:space="preserve"> , Mahmoud Montazeri, MD, Marzieh Zareikordshooli, MS in Law, </w:t>
      </w:r>
      <w:r w:rsidRPr="00494336">
        <w:rPr>
          <w:spacing w:val="-4"/>
          <w:sz w:val="18"/>
        </w:rPr>
        <w:t xml:space="preserve">Ghazaleh Sadeghi, MS in Law, Abdorrasoul Malekpour, DVM, Sanaz </w:t>
      </w:r>
      <w:proofErr w:type="spellStart"/>
      <w:r w:rsidRPr="00494336">
        <w:rPr>
          <w:spacing w:val="-4"/>
          <w:sz w:val="18"/>
        </w:rPr>
        <w:t>Hoseni</w:t>
      </w:r>
      <w:proofErr w:type="spellEnd"/>
      <w:r w:rsidRPr="00494336">
        <w:rPr>
          <w:spacing w:val="-4"/>
          <w:sz w:val="18"/>
        </w:rPr>
        <w:t>, Medical Student, Mohammadreza Bahrani, MD, Razieh Hajatmand, MD. Statistical Analysis of Organ Morphometric Parameters and Weights in South Iranian Adult Autopsies. Medicine. 2017</w:t>
      </w:r>
      <w:proofErr w:type="gramStart"/>
      <w:r w:rsidRPr="00494336">
        <w:rPr>
          <w:spacing w:val="-4"/>
          <w:sz w:val="18"/>
        </w:rPr>
        <w:t>;96</w:t>
      </w:r>
      <w:proofErr w:type="gramEnd"/>
      <w:r w:rsidRPr="00494336">
        <w:rPr>
          <w:spacing w:val="-4"/>
          <w:sz w:val="18"/>
        </w:rPr>
        <w:t>(21):e6447.</w:t>
      </w:r>
    </w:p>
    <w:p w:rsidR="00C77184" w:rsidRDefault="00C77184" w:rsidP="00C77184">
      <w:pPr>
        <w:pStyle w:val="ListParagraph"/>
        <w:numPr>
          <w:ilvl w:val="0"/>
          <w:numId w:val="1"/>
        </w:numPr>
        <w:tabs>
          <w:tab w:val="left" w:pos="384"/>
        </w:tabs>
        <w:spacing w:line="216" w:lineRule="exact"/>
        <w:ind w:right="138"/>
        <w:rPr>
          <w:sz w:val="18"/>
        </w:rPr>
      </w:pPr>
      <w:r w:rsidRPr="00494336">
        <w:rPr>
          <w:sz w:val="18"/>
        </w:rPr>
        <w:t>Hosseini M, Khoshnoud R, Gholamzadeh S, Naseri G, Tarian T, Malekpour A, et al. A Case Report of Suicide with Chloroquine Overdose and Review of Literature. Journal of Fasa University of Medical Sciences. 2016</w:t>
      </w:r>
      <w:proofErr w:type="gramStart"/>
      <w:r w:rsidRPr="00494336">
        <w:rPr>
          <w:sz w:val="18"/>
        </w:rPr>
        <w:t>;6</w:t>
      </w:r>
      <w:proofErr w:type="gramEnd"/>
      <w:r w:rsidRPr="00494336">
        <w:rPr>
          <w:sz w:val="18"/>
        </w:rPr>
        <w:t>(2):133-7.</w:t>
      </w:r>
    </w:p>
    <w:p w:rsidR="00C77184" w:rsidRPr="00F00D5F" w:rsidRDefault="00C77184" w:rsidP="00C77184">
      <w:pPr>
        <w:pStyle w:val="ListParagraph"/>
        <w:numPr>
          <w:ilvl w:val="0"/>
          <w:numId w:val="1"/>
        </w:numPr>
        <w:tabs>
          <w:tab w:val="left" w:pos="384"/>
        </w:tabs>
        <w:spacing w:before="85" w:line="216" w:lineRule="exact"/>
        <w:ind w:right="138"/>
      </w:pPr>
      <w:r w:rsidRPr="00045332">
        <w:rPr>
          <w:sz w:val="18"/>
        </w:rPr>
        <w:t>Maryam Hosseini HA, Abdorrasoul Malekpour, Tahereh Tarian, Asiyeh Hashemi, Reza Khoshnoud1, Saeid Gholamzadeh, Mohammad Zarenezhad. Modified Solid Phase Extraction of Organophosphorus Pesticides; Report of Two Cases of Suicides. International Journal of Pharmacy and Biological Sciences. 2016</w:t>
      </w:r>
      <w:proofErr w:type="gramStart"/>
      <w:r w:rsidRPr="00045332">
        <w:rPr>
          <w:sz w:val="18"/>
        </w:rPr>
        <w:t>;6</w:t>
      </w:r>
      <w:proofErr w:type="gramEnd"/>
      <w:r w:rsidRPr="00045332">
        <w:rPr>
          <w:sz w:val="18"/>
        </w:rPr>
        <w:t>(3):74-7.</w:t>
      </w:r>
    </w:p>
    <w:p w:rsidR="00C77184" w:rsidRPr="00F00D5F" w:rsidRDefault="00C77184" w:rsidP="00C77184">
      <w:pPr>
        <w:pStyle w:val="ListParagraph"/>
        <w:numPr>
          <w:ilvl w:val="0"/>
          <w:numId w:val="1"/>
        </w:numPr>
        <w:tabs>
          <w:tab w:val="left" w:pos="384"/>
        </w:tabs>
        <w:spacing w:before="85" w:line="216" w:lineRule="exact"/>
        <w:ind w:right="138"/>
        <w:rPr>
          <w:sz w:val="18"/>
        </w:rPr>
      </w:pPr>
      <w:r w:rsidRPr="00F00D5F">
        <w:rPr>
          <w:sz w:val="18"/>
        </w:rPr>
        <w:t>Mortazavi M, Zarenezhad M, Gholamzadeh S, Alavian SM, Ghorbani M, Dehghani R, et al. Bioinformatic Identification of Rare Codon Clusters (RCCs) in HBV Genome and Evaluation of RCCs in Proteins Structure of Hepatitis B Virus. Hepatitis monthly. 2016</w:t>
      </w:r>
      <w:proofErr w:type="gramStart"/>
      <w:r w:rsidRPr="00F00D5F">
        <w:rPr>
          <w:sz w:val="18"/>
        </w:rPr>
        <w:t>;16</w:t>
      </w:r>
      <w:proofErr w:type="gramEnd"/>
      <w:r w:rsidRPr="00F00D5F">
        <w:rPr>
          <w:sz w:val="18"/>
        </w:rPr>
        <w:t>(10).</w:t>
      </w:r>
    </w:p>
    <w:p w:rsidR="00C77184" w:rsidRPr="00496E6D" w:rsidRDefault="00C77184" w:rsidP="00C77184">
      <w:pPr>
        <w:pStyle w:val="ListParagraph"/>
        <w:numPr>
          <w:ilvl w:val="0"/>
          <w:numId w:val="1"/>
        </w:numPr>
        <w:tabs>
          <w:tab w:val="left" w:pos="384"/>
        </w:tabs>
        <w:spacing w:before="85" w:line="216" w:lineRule="exact"/>
        <w:ind w:right="138"/>
        <w:rPr>
          <w:sz w:val="18"/>
        </w:rPr>
      </w:pPr>
      <w:r w:rsidRPr="00F00D5F">
        <w:rPr>
          <w:sz w:val="18"/>
        </w:rPr>
        <w:t>Mortazavi M, Zarenezhad M, Alavian SM, Gholamzadeh S,</w:t>
      </w:r>
      <w:r w:rsidRPr="00496E6D">
        <w:rPr>
          <w:sz w:val="18"/>
        </w:rPr>
        <w:t xml:space="preserve"> Malekpour A, Ghorbani M, et al. Bioinformatic Analysis of Codon Usage and Phylogenetic Relationships in Different Genotypes of the Hepatitis C Virus. Hepatitis monthly. 2016</w:t>
      </w:r>
      <w:proofErr w:type="gramStart"/>
      <w:r w:rsidRPr="00496E6D">
        <w:rPr>
          <w:sz w:val="18"/>
        </w:rPr>
        <w:t>;16</w:t>
      </w:r>
      <w:proofErr w:type="gramEnd"/>
      <w:r w:rsidRPr="00496E6D">
        <w:rPr>
          <w:sz w:val="18"/>
        </w:rPr>
        <w:t>(10).</w:t>
      </w:r>
    </w:p>
    <w:p w:rsidR="00C77184" w:rsidRDefault="00C77184" w:rsidP="00496E6D">
      <w:pPr>
        <w:pStyle w:val="ListParagraph"/>
        <w:numPr>
          <w:ilvl w:val="0"/>
          <w:numId w:val="1"/>
        </w:numPr>
        <w:tabs>
          <w:tab w:val="left" w:pos="384"/>
        </w:tabs>
        <w:spacing w:before="85" w:line="216" w:lineRule="exact"/>
        <w:ind w:right="138"/>
        <w:sectPr w:rsidR="00C77184">
          <w:type w:val="continuous"/>
          <w:pgSz w:w="11910" w:h="16840"/>
          <w:pgMar w:top="1740" w:right="600" w:bottom="840" w:left="620" w:header="720" w:footer="720" w:gutter="0"/>
          <w:cols w:num="2" w:space="720" w:equalWidth="0">
            <w:col w:w="5214" w:space="138"/>
            <w:col w:w="5338"/>
          </w:cols>
        </w:sectPr>
      </w:pPr>
      <w:bookmarkStart w:id="0" w:name="_GoBack"/>
      <w:bookmarkEnd w:id="0"/>
    </w:p>
    <w:p w:rsidR="00C77184" w:rsidRDefault="00C77184" w:rsidP="00C77184">
      <w:pPr>
        <w:pStyle w:val="BodyText"/>
        <w:spacing w:line="40" w:lineRule="exact"/>
        <w:ind w:left="2202"/>
        <w:rPr>
          <w:rFonts w:ascii="Calibri"/>
          <w:sz w:val="4"/>
        </w:rPr>
      </w:pPr>
      <w:r>
        <w:rPr>
          <w:rFonts w:ascii="Calibri"/>
          <w:noProof/>
          <w:sz w:val="4"/>
        </w:rPr>
        <mc:AlternateContent>
          <mc:Choice Requires="wpg">
            <w:drawing>
              <wp:inline distT="0" distB="0" distL="0" distR="0" wp14:anchorId="2592E9B8" wp14:editId="101CFD4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1D4AC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C77184" w:rsidRDefault="00C77184" w:rsidP="00C77184">
      <w:pPr>
        <w:spacing w:before="92"/>
        <w:ind w:right="4234"/>
        <w:rPr>
          <w:rFonts w:ascii="Arial"/>
        </w:rPr>
      </w:pPr>
      <w:r>
        <w:rPr>
          <w:noProof/>
        </w:rPr>
        <w:t xml:space="preserve">              </w:t>
      </w:r>
      <w:r>
        <w:rPr>
          <w:rFonts w:ascii="Arial"/>
          <w:color w:val="BF5A14"/>
        </w:rPr>
        <w:t>Biography (150 word limit)</w:t>
      </w:r>
    </w:p>
    <w:p w:rsidR="00C77184" w:rsidRDefault="00C77184" w:rsidP="00C77184">
      <w:pPr>
        <w:spacing w:before="41" w:line="154" w:lineRule="exact"/>
        <w:ind w:left="213" w:right="231"/>
        <w:jc w:val="both"/>
        <w:rPr>
          <w:rFonts w:ascii="Arial"/>
          <w:sz w:val="14"/>
        </w:rPr>
      </w:pPr>
      <w:r>
        <w:rPr>
          <w:rFonts w:ascii="Arial"/>
          <w:sz w:val="14"/>
        </w:rPr>
        <w:t xml:space="preserve">The authors of this study have developed their expertise in forensic medicine and forensic toxicology. They improved new detective methods for detection of trace elements and toxic agents in biological samples. </w:t>
      </w:r>
    </w:p>
    <w:p w:rsidR="00C77184" w:rsidRDefault="00C77184" w:rsidP="00C77184">
      <w:pPr>
        <w:spacing w:before="62"/>
        <w:ind w:left="4217" w:right="4030"/>
        <w:jc w:val="center"/>
        <w:rPr>
          <w:rFonts w:ascii="Arial"/>
          <w:sz w:val="14"/>
        </w:rPr>
      </w:pPr>
      <w:r>
        <w:rPr>
          <w:rFonts w:ascii="Arial"/>
          <w:sz w:val="14"/>
        </w:rPr>
        <w:t xml:space="preserve">Email: </w:t>
      </w:r>
      <w:hyperlink r:id="rId7" w:history="1">
        <w:r w:rsidRPr="00591AA3">
          <w:rPr>
            <w:rStyle w:val="Hyperlink"/>
            <w:rFonts w:ascii="Arial"/>
            <w:sz w:val="14"/>
          </w:rPr>
          <w:t>farslegalmedicine@gmail.com</w:t>
        </w:r>
      </w:hyperlink>
    </w:p>
    <w:p w:rsidR="00C77184" w:rsidRDefault="00C77184" w:rsidP="00C77184">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432E5B6C" wp14:editId="6476200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357920"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C77184" w:rsidRDefault="00C77184" w:rsidP="00C77184">
      <w:pPr>
        <w:pStyle w:val="BodyText"/>
        <w:rPr>
          <w:rFonts w:ascii="Arial"/>
          <w:sz w:val="20"/>
        </w:rPr>
      </w:pPr>
    </w:p>
    <w:p w:rsidR="00C77184" w:rsidRDefault="00C77184" w:rsidP="00C77184">
      <w:pPr>
        <w:pStyle w:val="BodyText"/>
        <w:rPr>
          <w:rFonts w:ascii="Arial"/>
          <w:sz w:val="20"/>
        </w:rPr>
      </w:pPr>
    </w:p>
    <w:p w:rsidR="00C77184" w:rsidRDefault="00C77184" w:rsidP="00C77184">
      <w:pPr>
        <w:pStyle w:val="BodyText"/>
        <w:spacing w:before="7"/>
        <w:rPr>
          <w:rFonts w:ascii="Arial"/>
          <w:sz w:val="29"/>
        </w:rPr>
      </w:pPr>
    </w:p>
    <w:p w:rsidR="00C77184" w:rsidRPr="00B21A57" w:rsidRDefault="00C77184" w:rsidP="00C77184">
      <w:pPr>
        <w:spacing w:before="39"/>
        <w:ind w:left="100"/>
        <w:rPr>
          <w:rFonts w:ascii="Minion Pro"/>
          <w:b/>
          <w:sz w:val="20"/>
        </w:rPr>
      </w:pPr>
      <w:r w:rsidRPr="00B21A57">
        <w:rPr>
          <w:rFonts w:ascii="Minion Pro"/>
          <w:b/>
          <w:sz w:val="20"/>
        </w:rPr>
        <w:t>Notes/Comments:</w:t>
      </w:r>
    </w:p>
    <w:p w:rsidR="00C77184" w:rsidRDefault="00C77184" w:rsidP="00C77184">
      <w:pPr>
        <w:rPr>
          <w:rFonts w:ascii="Minion Pro"/>
          <w:sz w:val="24"/>
        </w:rPr>
        <w:sectPr w:rsidR="00C77184">
          <w:type w:val="continuous"/>
          <w:pgSz w:w="11910" w:h="16840"/>
          <w:pgMar w:top="1740" w:right="600" w:bottom="840" w:left="620" w:header="720" w:footer="720" w:gutter="0"/>
          <w:cols w:space="720"/>
        </w:sectPr>
      </w:pPr>
    </w:p>
    <w:p w:rsidR="00C77184" w:rsidRDefault="00C77184" w:rsidP="00C77184">
      <w:pPr>
        <w:pStyle w:val="BodyText"/>
        <w:spacing w:before="3"/>
        <w:rPr>
          <w:rFonts w:ascii="Minion Pro"/>
          <w:sz w:val="26"/>
        </w:rPr>
      </w:pPr>
    </w:p>
    <w:p w:rsidR="003F55BF" w:rsidRDefault="003F55BF"/>
    <w:sectPr w:rsidR="003F55BF"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B5177F">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682ABEC6" wp14:editId="4AE5AB8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B5177F">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B5177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2ABEC6"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B5177F">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B5177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67F29F67" wp14:editId="61DA1D3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B5177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B5177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F29F67"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B5177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B5177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079EB46D" wp14:editId="6E7C61F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B5177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B5177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9EB46D"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B5177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B5177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B5177F">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1A6EE8B6" wp14:editId="2BE2577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B5177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6EE8B6"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B5177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25429021" wp14:editId="05A00D4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B5177F">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B5177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429021"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B5177F">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B5177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184"/>
    <w:rsid w:val="003B2810"/>
    <w:rsid w:val="003F55BF"/>
    <w:rsid w:val="00496E6D"/>
    <w:rsid w:val="007C007D"/>
    <w:rsid w:val="008C41C5"/>
    <w:rsid w:val="00B5177F"/>
    <w:rsid w:val="00C771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06C5BE-0A0E-4808-B01B-2EE3FDD45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77184"/>
    <w:pPr>
      <w:widowControl w:val="0"/>
      <w:spacing w:after="0" w:line="240" w:lineRule="auto"/>
    </w:pPr>
    <w:rPr>
      <w:rFonts w:ascii="Tw Cen MT" w:eastAsia="Tw Cen MT" w:hAnsi="Tw Cen MT" w:cs="Tw Cen MT"/>
    </w:rPr>
  </w:style>
  <w:style w:type="paragraph" w:styleId="Heading3">
    <w:name w:val="heading 3"/>
    <w:basedOn w:val="Normal"/>
    <w:link w:val="Heading3Char"/>
    <w:uiPriority w:val="1"/>
    <w:qFormat/>
    <w:rsid w:val="00C77184"/>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C77184"/>
    <w:rPr>
      <w:rFonts w:ascii="Arial" w:eastAsia="Arial" w:hAnsi="Arial" w:cs="Arial"/>
      <w:b/>
      <w:bCs/>
      <w:sz w:val="20"/>
      <w:szCs w:val="20"/>
    </w:rPr>
  </w:style>
  <w:style w:type="paragraph" w:styleId="BodyText">
    <w:name w:val="Body Text"/>
    <w:basedOn w:val="Normal"/>
    <w:link w:val="BodyTextChar"/>
    <w:uiPriority w:val="1"/>
    <w:qFormat/>
    <w:rsid w:val="00C77184"/>
    <w:rPr>
      <w:sz w:val="18"/>
      <w:szCs w:val="18"/>
    </w:rPr>
  </w:style>
  <w:style w:type="character" w:customStyle="1" w:styleId="BodyTextChar">
    <w:name w:val="Body Text Char"/>
    <w:basedOn w:val="DefaultParagraphFont"/>
    <w:link w:val="BodyText"/>
    <w:uiPriority w:val="1"/>
    <w:rsid w:val="00C77184"/>
    <w:rPr>
      <w:rFonts w:ascii="Tw Cen MT" w:eastAsia="Tw Cen MT" w:hAnsi="Tw Cen MT" w:cs="Tw Cen MT"/>
      <w:sz w:val="18"/>
      <w:szCs w:val="18"/>
    </w:rPr>
  </w:style>
  <w:style w:type="paragraph" w:styleId="ListParagraph">
    <w:name w:val="List Paragraph"/>
    <w:basedOn w:val="Normal"/>
    <w:uiPriority w:val="1"/>
    <w:qFormat/>
    <w:rsid w:val="00C77184"/>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C7718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arslegalmedicin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580</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2017-08-22T11:34:00Z</dcterms:created>
  <dcterms:modified xsi:type="dcterms:W3CDTF">2017-08-22T11:41:00Z</dcterms:modified>
</cp:coreProperties>
</file>