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4D6" w:rsidRDefault="00D864D6" w:rsidP="0079598D">
      <w:pPr>
        <w:pStyle w:val="BodyText"/>
        <w:spacing w:before="73" w:line="276" w:lineRule="auto"/>
        <w:ind w:left="100" w:right="430"/>
        <w:rPr>
          <w:rFonts w:ascii="Minion Pro" w:eastAsia="Minion Pro" w:hAnsi="Minion Pro" w:cs="Minion Pro"/>
          <w:b/>
          <w:bCs/>
          <w:color w:val="337AB7"/>
          <w:sz w:val="36"/>
          <w:szCs w:val="36"/>
        </w:rPr>
      </w:pPr>
      <w:r w:rsidRPr="00D864D6">
        <w:rPr>
          <w:rFonts w:ascii="Minion Pro" w:eastAsia="Minion Pro" w:hAnsi="Minion Pro" w:cs="Minion Pro"/>
          <w:b/>
          <w:bCs/>
          <w:color w:val="337AB7"/>
          <w:sz w:val="36"/>
          <w:szCs w:val="36"/>
        </w:rPr>
        <w:t>Suicidal ingestion of Arsenic and Thallium; a case report and review of literature</w:t>
      </w:r>
    </w:p>
    <w:p w:rsidR="00D864D6" w:rsidRPr="0079598D" w:rsidRDefault="00D864D6" w:rsidP="0079598D">
      <w:pPr>
        <w:ind w:left="180"/>
        <w:rPr>
          <w:rFonts w:asciiTheme="majorBidi" w:hAnsiTheme="majorBidi" w:cstheme="majorBidi"/>
          <w:sz w:val="20"/>
          <w:szCs w:val="20"/>
          <w:lang w:bidi="fa-IR"/>
        </w:rPr>
      </w:pPr>
      <w:r w:rsidRPr="0079598D">
        <w:rPr>
          <w:rFonts w:asciiTheme="majorBidi" w:hAnsiTheme="majorBidi" w:cstheme="majorBidi"/>
          <w:sz w:val="20"/>
          <w:szCs w:val="20"/>
        </w:rPr>
        <w:t>Saeid Gholamzadeh</w:t>
      </w:r>
      <w:r w:rsidR="00D1777D" w:rsidRPr="0079598D">
        <w:rPr>
          <w:rFonts w:asciiTheme="majorBidi" w:hAnsiTheme="majorBidi" w:cstheme="majorBidi"/>
          <w:sz w:val="20"/>
          <w:szCs w:val="20"/>
        </w:rPr>
        <w:t xml:space="preserve">, </w:t>
      </w:r>
      <w:r w:rsidR="006C1C79" w:rsidRPr="0079598D">
        <w:rPr>
          <w:rFonts w:asciiTheme="majorBidi" w:hAnsiTheme="majorBidi" w:cstheme="majorBidi"/>
          <w:sz w:val="20"/>
          <w:szCs w:val="20"/>
          <w:lang w:bidi="fa-IR"/>
        </w:rPr>
        <w:t xml:space="preserve">Legal Medicine Research Center, Legal Medicine </w:t>
      </w:r>
      <w:r w:rsidR="00F10649" w:rsidRPr="0079598D">
        <w:rPr>
          <w:rFonts w:asciiTheme="majorBidi" w:hAnsiTheme="majorBidi" w:cstheme="majorBidi"/>
          <w:sz w:val="20"/>
          <w:szCs w:val="20"/>
          <w:lang w:bidi="fa-IR"/>
        </w:rPr>
        <w:t>Organization. Tehran, Iran.</w:t>
      </w:r>
    </w:p>
    <w:p w:rsidR="00D1777D" w:rsidRPr="0079598D" w:rsidRDefault="00D864D6" w:rsidP="0079598D">
      <w:pPr>
        <w:ind w:left="180"/>
        <w:rPr>
          <w:rFonts w:asciiTheme="majorBidi" w:hAnsiTheme="majorBidi" w:cstheme="majorBidi"/>
          <w:sz w:val="20"/>
          <w:szCs w:val="20"/>
          <w:lang w:bidi="fa-IR"/>
        </w:rPr>
      </w:pPr>
      <w:r w:rsidRPr="0079598D">
        <w:rPr>
          <w:rFonts w:asciiTheme="majorBidi" w:hAnsiTheme="majorBidi" w:cstheme="majorBidi"/>
          <w:sz w:val="20"/>
          <w:szCs w:val="20"/>
        </w:rPr>
        <w:t>Reza Khoshnoud</w:t>
      </w:r>
      <w:r w:rsidR="00D1777D" w:rsidRPr="0079598D">
        <w:rPr>
          <w:rFonts w:asciiTheme="majorBidi" w:hAnsiTheme="majorBidi" w:cstheme="majorBidi"/>
          <w:sz w:val="20"/>
          <w:szCs w:val="20"/>
        </w:rPr>
        <w:t xml:space="preserve">, </w:t>
      </w:r>
      <w:r w:rsidR="00F10649" w:rsidRPr="0079598D">
        <w:rPr>
          <w:rFonts w:asciiTheme="majorBidi" w:hAnsiTheme="majorBidi" w:cstheme="majorBidi"/>
          <w:sz w:val="20"/>
          <w:szCs w:val="20"/>
          <w:lang w:bidi="fa-IR"/>
        </w:rPr>
        <w:t>Legal Medicine Research Center, Legal Medicine Organization. Tehran, Iran.</w:t>
      </w:r>
    </w:p>
    <w:p w:rsidR="00D1777D" w:rsidRPr="0079598D" w:rsidRDefault="00D864D6" w:rsidP="0079598D">
      <w:pPr>
        <w:ind w:left="180"/>
        <w:rPr>
          <w:rFonts w:asciiTheme="majorBidi" w:hAnsiTheme="majorBidi" w:cstheme="majorBidi"/>
          <w:sz w:val="20"/>
          <w:szCs w:val="20"/>
          <w:lang w:bidi="fa-IR"/>
        </w:rPr>
      </w:pPr>
      <w:proofErr w:type="spellStart"/>
      <w:r w:rsidRPr="0079598D">
        <w:rPr>
          <w:rFonts w:asciiTheme="majorBidi" w:hAnsiTheme="majorBidi" w:cstheme="majorBidi"/>
          <w:sz w:val="20"/>
          <w:szCs w:val="20"/>
        </w:rPr>
        <w:t>Niloofar</w:t>
      </w:r>
      <w:proofErr w:type="spellEnd"/>
      <w:r w:rsidRPr="0079598D">
        <w:rPr>
          <w:rFonts w:asciiTheme="majorBidi" w:hAnsiTheme="majorBidi" w:cstheme="majorBidi"/>
          <w:sz w:val="20"/>
          <w:szCs w:val="20"/>
        </w:rPr>
        <w:t xml:space="preserve"> </w:t>
      </w:r>
      <w:proofErr w:type="spellStart"/>
      <w:r w:rsidRPr="0079598D">
        <w:rPr>
          <w:rFonts w:asciiTheme="majorBidi" w:hAnsiTheme="majorBidi" w:cstheme="majorBidi"/>
          <w:sz w:val="20"/>
          <w:szCs w:val="20"/>
        </w:rPr>
        <w:t>Panahi</w:t>
      </w:r>
      <w:proofErr w:type="spellEnd"/>
      <w:r w:rsidR="00D1777D" w:rsidRPr="0079598D">
        <w:rPr>
          <w:rFonts w:asciiTheme="majorBidi" w:hAnsiTheme="majorBidi" w:cstheme="majorBidi"/>
          <w:sz w:val="20"/>
          <w:szCs w:val="20"/>
        </w:rPr>
        <w:t xml:space="preserve">, </w:t>
      </w:r>
      <w:r w:rsidR="00F10649" w:rsidRPr="0079598D">
        <w:rPr>
          <w:rFonts w:asciiTheme="majorBidi" w:hAnsiTheme="majorBidi" w:cstheme="majorBidi"/>
          <w:sz w:val="20"/>
          <w:szCs w:val="20"/>
          <w:lang w:bidi="fa-IR"/>
        </w:rPr>
        <w:t>Legal Medicine Research Center, Legal Medicine Organization. Tehran, Iran.</w:t>
      </w:r>
    </w:p>
    <w:p w:rsidR="00D1777D" w:rsidRPr="0079598D" w:rsidRDefault="00D864D6" w:rsidP="0079598D">
      <w:pPr>
        <w:ind w:left="180"/>
        <w:rPr>
          <w:rFonts w:asciiTheme="majorBidi" w:hAnsiTheme="majorBidi" w:cstheme="majorBidi"/>
          <w:sz w:val="20"/>
          <w:szCs w:val="20"/>
          <w:lang w:bidi="fa-IR"/>
        </w:rPr>
      </w:pPr>
      <w:r w:rsidRPr="0079598D">
        <w:rPr>
          <w:rFonts w:asciiTheme="majorBidi" w:hAnsiTheme="majorBidi" w:cstheme="majorBidi"/>
          <w:sz w:val="20"/>
          <w:szCs w:val="20"/>
        </w:rPr>
        <w:t>Abdorrasoul Malekpour</w:t>
      </w:r>
      <w:r w:rsidR="00D1777D" w:rsidRPr="0079598D">
        <w:rPr>
          <w:rFonts w:asciiTheme="majorBidi" w:hAnsiTheme="majorBidi" w:cstheme="majorBidi"/>
          <w:sz w:val="20"/>
          <w:szCs w:val="20"/>
        </w:rPr>
        <w:t xml:space="preserve">, </w:t>
      </w:r>
      <w:r w:rsidR="00F10649" w:rsidRPr="0079598D">
        <w:rPr>
          <w:rFonts w:asciiTheme="majorBidi" w:hAnsiTheme="majorBidi" w:cstheme="majorBidi"/>
          <w:sz w:val="20"/>
          <w:szCs w:val="20"/>
          <w:lang w:bidi="fa-IR"/>
        </w:rPr>
        <w:t>Legal Medicine Research Center, Legal Medicine Organization. Tehran, Iran.</w:t>
      </w:r>
    </w:p>
    <w:p w:rsidR="00D864D6" w:rsidRPr="0079598D" w:rsidRDefault="00D864D6" w:rsidP="0079598D">
      <w:pPr>
        <w:ind w:left="180"/>
        <w:rPr>
          <w:rFonts w:asciiTheme="majorBidi" w:hAnsiTheme="majorBidi" w:cstheme="majorBidi"/>
          <w:sz w:val="20"/>
          <w:szCs w:val="20"/>
          <w:lang w:bidi="fa-IR"/>
        </w:rPr>
      </w:pPr>
      <w:r w:rsidRPr="0079598D">
        <w:rPr>
          <w:rFonts w:asciiTheme="majorBidi" w:hAnsiTheme="majorBidi" w:cstheme="majorBidi"/>
          <w:sz w:val="20"/>
          <w:szCs w:val="20"/>
        </w:rPr>
        <w:t>Ali Moaddeli</w:t>
      </w:r>
      <w:r w:rsidR="00D1777D" w:rsidRPr="0079598D">
        <w:rPr>
          <w:rFonts w:asciiTheme="majorBidi" w:hAnsiTheme="majorBidi" w:cstheme="majorBidi"/>
          <w:sz w:val="20"/>
          <w:szCs w:val="20"/>
        </w:rPr>
        <w:t xml:space="preserve">, </w:t>
      </w:r>
      <w:r w:rsidR="00F10649" w:rsidRPr="0079598D">
        <w:rPr>
          <w:rFonts w:asciiTheme="majorBidi" w:hAnsiTheme="majorBidi" w:cstheme="majorBidi"/>
          <w:sz w:val="20"/>
          <w:szCs w:val="20"/>
          <w:lang w:bidi="fa-IR"/>
        </w:rPr>
        <w:t>Legal Medicine Research Center, Legal Medicine Organization. Tehran, Iran.</w:t>
      </w:r>
    </w:p>
    <w:p w:rsidR="00AE3E37" w:rsidRPr="0079598D" w:rsidRDefault="00AE3E37" w:rsidP="0079598D">
      <w:pPr>
        <w:pStyle w:val="BodyText"/>
        <w:spacing w:before="3"/>
        <w:ind w:left="180"/>
        <w:rPr>
          <w:rFonts w:ascii="Arial"/>
          <w:szCs w:val="14"/>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9598D" w:rsidRDefault="00A9710C" w:rsidP="0079598D">
      <w:pPr>
        <w:pStyle w:val="Heading3"/>
        <w:spacing w:before="147"/>
        <w:jc w:val="both"/>
        <w:rPr>
          <w:color w:val="BF5A14"/>
        </w:rPr>
      </w:pPr>
      <w:r>
        <w:rPr>
          <w:color w:val="BF5A14"/>
        </w:rPr>
        <w:t>Abstract</w:t>
      </w:r>
      <w:r w:rsidR="00404E5B">
        <w:rPr>
          <w:color w:val="BF5A14"/>
        </w:rPr>
        <w:t xml:space="preserve"> </w:t>
      </w:r>
    </w:p>
    <w:p w:rsidR="008D0EE6" w:rsidRPr="008D0EE6" w:rsidRDefault="008D0EE6" w:rsidP="0079598D">
      <w:pPr>
        <w:pStyle w:val="Heading3"/>
        <w:spacing w:before="147"/>
        <w:jc w:val="both"/>
        <w:rPr>
          <w:rFonts w:ascii="Tw Cen MT" w:eastAsia="Tw Cen MT" w:hAnsi="Tw Cen MT" w:cs="Tw Cen MT"/>
          <w:b w:val="0"/>
          <w:bCs w:val="0"/>
          <w:sz w:val="18"/>
          <w:szCs w:val="18"/>
        </w:rPr>
      </w:pPr>
      <w:r w:rsidRPr="008D0EE6">
        <w:rPr>
          <w:rFonts w:ascii="Tw Cen MT" w:eastAsia="Tw Cen MT" w:hAnsi="Tw Cen MT" w:cs="Tw Cen MT"/>
          <w:b w:val="0"/>
          <w:bCs w:val="0"/>
          <w:sz w:val="18"/>
          <w:szCs w:val="18"/>
        </w:rPr>
        <w:t>A 15-year-old man of Persian origin who had been referred to Fars Province General Administration of Forensic Medicine for post mortem examinations and determination of the cause of death. He had been died before admission to the hospital. However, signs of therapeutic injections were available on his hands and neck. Criminal notes indicated that he had tried for suicide by ingestion of unknown material.</w:t>
      </w:r>
    </w:p>
    <w:p w:rsidR="008D0EE6" w:rsidRPr="008D0EE6" w:rsidRDefault="008D0EE6" w:rsidP="0017511E">
      <w:pPr>
        <w:pStyle w:val="Heading3"/>
        <w:spacing w:before="74"/>
        <w:jc w:val="both"/>
        <w:rPr>
          <w:rFonts w:ascii="Tw Cen MT" w:eastAsia="Tw Cen MT" w:hAnsi="Tw Cen MT" w:cs="Tw Cen MT"/>
          <w:b w:val="0"/>
          <w:bCs w:val="0"/>
          <w:sz w:val="18"/>
          <w:szCs w:val="18"/>
        </w:rPr>
      </w:pPr>
      <w:r w:rsidRPr="008D0EE6">
        <w:rPr>
          <w:rFonts w:ascii="Tw Cen MT" w:eastAsia="Tw Cen MT" w:hAnsi="Tw Cen MT" w:cs="Tw Cen MT"/>
          <w:b w:val="0"/>
          <w:bCs w:val="0"/>
          <w:sz w:val="18"/>
          <w:szCs w:val="18"/>
        </w:rPr>
        <w:t>Facial and ocular congestion as well as cyanosis on his lips were found in gross examinations of the cadaver. Examination of the cadaver revealed old scar tissue on his left and right hands. No signs of injury, wound or laceration was observed in his body.</w:t>
      </w:r>
    </w:p>
    <w:p w:rsidR="008D0EE6" w:rsidRPr="008D0EE6" w:rsidRDefault="008D0EE6" w:rsidP="0017511E">
      <w:pPr>
        <w:pStyle w:val="Heading3"/>
        <w:spacing w:before="74"/>
        <w:jc w:val="both"/>
        <w:rPr>
          <w:rFonts w:ascii="Tw Cen MT" w:eastAsia="Tw Cen MT" w:hAnsi="Tw Cen MT" w:cs="Tw Cen MT"/>
          <w:b w:val="0"/>
          <w:bCs w:val="0"/>
          <w:sz w:val="18"/>
          <w:szCs w:val="18"/>
        </w:rPr>
      </w:pPr>
      <w:r w:rsidRPr="008D0EE6">
        <w:rPr>
          <w:rFonts w:ascii="Tw Cen MT" w:eastAsia="Tw Cen MT" w:hAnsi="Tw Cen MT" w:cs="Tw Cen MT"/>
          <w:b w:val="0"/>
          <w:bCs w:val="0"/>
          <w:sz w:val="18"/>
          <w:szCs w:val="18"/>
        </w:rPr>
        <w:t>There was signs of petechial hemorrhages between lung lobes and also the lungs were congested and edematous. No contusion or laceration was observed in lung lobes or thoracic organs. Also, signs of hyperemia was observed in peritoneum. As there was no pathognomonic nor specific pathologic finding in autopsy examination of the cadaver, forensic toxicology and microscopic histopathological examinations were needed to determine the cause of death.</w:t>
      </w:r>
    </w:p>
    <w:p w:rsidR="008D0EE6" w:rsidRPr="008D0EE6" w:rsidRDefault="008D0EE6" w:rsidP="0017511E">
      <w:pPr>
        <w:pStyle w:val="Heading3"/>
        <w:spacing w:before="74"/>
        <w:jc w:val="both"/>
        <w:rPr>
          <w:rFonts w:ascii="Tw Cen MT" w:eastAsia="Tw Cen MT" w:hAnsi="Tw Cen MT" w:cs="Tw Cen MT"/>
          <w:b w:val="0"/>
          <w:bCs w:val="0"/>
          <w:sz w:val="18"/>
          <w:szCs w:val="18"/>
        </w:rPr>
      </w:pPr>
      <w:r w:rsidRPr="008D0EE6">
        <w:rPr>
          <w:rFonts w:ascii="Tw Cen MT" w:eastAsia="Tw Cen MT" w:hAnsi="Tw Cen MT" w:cs="Tw Cen MT"/>
          <w:b w:val="0"/>
          <w:bCs w:val="0"/>
          <w:sz w:val="18"/>
          <w:szCs w:val="18"/>
        </w:rPr>
        <w:t xml:space="preserve">Gas chromatography- Mass spectroscopy followed by solid phase extraction (SPE) was performed in order to detect possible toxic materials in homogenized visceral organs (liver, kidney) blood and urine samples. High performance liquid chromatography was also applied for detection of pesticides. Paraquat poisons, phosphine, cyanide and metal poisons were not found using routine toxicology methods. Also, methanol and ethanol were not found in vitreous and blood with gas chromatography evaluation. </w:t>
      </w:r>
    </w:p>
    <w:p w:rsidR="0075377D" w:rsidRPr="004A77D2" w:rsidRDefault="008D0EE6" w:rsidP="004A77D2">
      <w:pPr>
        <w:pStyle w:val="BodyText"/>
        <w:jc w:val="both"/>
      </w:pPr>
      <w:r w:rsidRPr="008D0EE6">
        <w:t>Finally, inductively-coupled plasma mass spectrometry (ICP-MS) was applied to detect metallic poisons. The results of ICP-MS revealed the presence of Thallium and Arsenic in gastric contents.</w:t>
      </w:r>
      <w:r w:rsidR="0075377D">
        <w:rPr>
          <w:b/>
          <w:bCs/>
        </w:rPr>
        <w:t xml:space="preserve"> </w:t>
      </w:r>
      <w:r w:rsidR="0075377D">
        <w:rPr>
          <w:rFonts w:ascii="Calibri"/>
          <w:sz w:val="20"/>
        </w:rPr>
        <w:t xml:space="preserve">High technology methods </w:t>
      </w:r>
      <w:r w:rsidR="0075377D" w:rsidRPr="004A77D2">
        <w:t xml:space="preserve">such as </w:t>
      </w:r>
      <w:r w:rsidR="0075377D" w:rsidRPr="008D0EE6">
        <w:t xml:space="preserve">inductively-coupled plasma mass spectrometry (ICP-MS) </w:t>
      </w:r>
      <w:r w:rsidR="0075377D" w:rsidRPr="004A77D2">
        <w:t xml:space="preserve">are needed for detection of </w:t>
      </w:r>
      <w:r w:rsidR="004A77D2" w:rsidRPr="004A77D2">
        <w:t>toxic agents where no toxic material is found with routine screening methods.</w:t>
      </w:r>
    </w:p>
    <w:p w:rsidR="005973B9" w:rsidRDefault="005973B9" w:rsidP="00EE12C0">
      <w:pPr>
        <w:pStyle w:val="BodyText"/>
        <w:rPr>
          <w:rFonts w:ascii="Arial"/>
          <w:b/>
          <w:sz w:val="20"/>
        </w:rPr>
      </w:pPr>
      <w:r w:rsidRPr="004A77D2">
        <w:br/>
      </w:r>
      <w:r>
        <w:rPr>
          <w:rFonts w:ascii="Arial"/>
          <w:b/>
          <w:color w:val="BF5A14"/>
          <w:sz w:val="20"/>
        </w:rPr>
        <w:t xml:space="preserve">Recent Publications </w:t>
      </w:r>
    </w:p>
    <w:p w:rsidR="00494336" w:rsidRPr="00494336" w:rsidRDefault="00494336" w:rsidP="005973B9">
      <w:pPr>
        <w:pStyle w:val="ListParagraph"/>
        <w:numPr>
          <w:ilvl w:val="0"/>
          <w:numId w:val="3"/>
        </w:numPr>
        <w:tabs>
          <w:tab w:val="left" w:pos="384"/>
        </w:tabs>
        <w:spacing w:line="216" w:lineRule="exact"/>
        <w:ind w:right="137" w:hanging="283"/>
        <w:rPr>
          <w:spacing w:val="-4"/>
          <w:sz w:val="18"/>
        </w:rPr>
      </w:pPr>
      <w:r w:rsidRPr="00494336">
        <w:rPr>
          <w:spacing w:val="-4"/>
          <w:sz w:val="18"/>
        </w:rPr>
        <w:t>Saeid Gholamzadeh M, Mohammad Zarenezhad, MD, PhD</w:t>
      </w:r>
      <w:r w:rsidRPr="00494336">
        <w:rPr>
          <w:rFonts w:ascii="Cambria Math" w:hAnsi="Cambria Math" w:cs="Cambria Math"/>
          <w:spacing w:val="-4"/>
          <w:sz w:val="18"/>
        </w:rPr>
        <w:t>∗</w:t>
      </w:r>
      <w:r w:rsidRPr="00494336">
        <w:rPr>
          <w:spacing w:val="-4"/>
          <w:sz w:val="18"/>
        </w:rPr>
        <w:t xml:space="preserve"> , Mahmoud Montazeri, MD, Marzieh Zareikordshooli, MS in Law, Ghazaleh Sadeghi, MS in Law, Abdorrasoul Malekpour, DVM, Sanaz </w:t>
      </w:r>
      <w:proofErr w:type="spellStart"/>
      <w:r w:rsidRPr="00494336">
        <w:rPr>
          <w:spacing w:val="-4"/>
          <w:sz w:val="18"/>
        </w:rPr>
        <w:t>Hoseni</w:t>
      </w:r>
      <w:proofErr w:type="spellEnd"/>
      <w:r w:rsidRPr="00494336">
        <w:rPr>
          <w:spacing w:val="-4"/>
          <w:sz w:val="18"/>
        </w:rPr>
        <w:t>, Medical Student, Mohammadreza Bahrani, MD, Razieh Hajatmand, MD. Statistical Analysis of Organ Morphometric Parameters and Weights in South Iranian Adult Autopsies. Medicine. 2017</w:t>
      </w:r>
      <w:proofErr w:type="gramStart"/>
      <w:r w:rsidRPr="00494336">
        <w:rPr>
          <w:spacing w:val="-4"/>
          <w:sz w:val="18"/>
        </w:rPr>
        <w:t>;96</w:t>
      </w:r>
      <w:proofErr w:type="gramEnd"/>
      <w:r w:rsidRPr="00494336">
        <w:rPr>
          <w:spacing w:val="-4"/>
          <w:sz w:val="18"/>
        </w:rPr>
        <w:t>(21):e6447.</w:t>
      </w:r>
    </w:p>
    <w:p w:rsidR="00494336" w:rsidRDefault="00494336" w:rsidP="00494336">
      <w:pPr>
        <w:pStyle w:val="ListParagraph"/>
        <w:numPr>
          <w:ilvl w:val="0"/>
          <w:numId w:val="3"/>
        </w:numPr>
        <w:tabs>
          <w:tab w:val="left" w:pos="384"/>
        </w:tabs>
        <w:spacing w:line="216" w:lineRule="exact"/>
        <w:ind w:right="138"/>
        <w:rPr>
          <w:sz w:val="18"/>
        </w:rPr>
      </w:pPr>
      <w:r w:rsidRPr="00494336">
        <w:rPr>
          <w:sz w:val="18"/>
        </w:rPr>
        <w:t>Hosseini M, Khoshnoud R, Gholamzadeh S, Naseri G, Tarian T, Malekpour A, et al. A Case Report of Suicide with Chloroquine Overdose and Review of Literature. Journal of Fasa University of Medical Sciences. 2016</w:t>
      </w:r>
      <w:proofErr w:type="gramStart"/>
      <w:r w:rsidRPr="00494336">
        <w:rPr>
          <w:sz w:val="18"/>
        </w:rPr>
        <w:t>;6</w:t>
      </w:r>
      <w:proofErr w:type="gramEnd"/>
      <w:r w:rsidRPr="00494336">
        <w:rPr>
          <w:sz w:val="18"/>
        </w:rPr>
        <w:t>(2):133-7.</w:t>
      </w:r>
    </w:p>
    <w:p w:rsidR="00F00D5F" w:rsidRPr="00F00D5F" w:rsidRDefault="00045332" w:rsidP="002A50EB">
      <w:pPr>
        <w:pStyle w:val="ListParagraph"/>
        <w:numPr>
          <w:ilvl w:val="0"/>
          <w:numId w:val="3"/>
        </w:numPr>
        <w:tabs>
          <w:tab w:val="left" w:pos="384"/>
        </w:tabs>
        <w:spacing w:before="85" w:line="216" w:lineRule="exact"/>
        <w:ind w:right="138"/>
      </w:pPr>
      <w:r w:rsidRPr="00045332">
        <w:rPr>
          <w:sz w:val="18"/>
        </w:rPr>
        <w:t>Maryam Hosseini HA, Abdorrasoul Malekpour, Tahereh Tarian, Asiyeh Hashemi, Reza Khoshnoud1, Saeid Gholamzadeh, Mohammad Zarenezhad. Modified Solid Phase Extraction of Organophosphorus Pesticides; Report of Two Cases of Suicides. International Journal of Pharmacy and Biological Sciences. 2016</w:t>
      </w:r>
      <w:proofErr w:type="gramStart"/>
      <w:r w:rsidRPr="00045332">
        <w:rPr>
          <w:sz w:val="18"/>
        </w:rPr>
        <w:t>;6</w:t>
      </w:r>
      <w:proofErr w:type="gramEnd"/>
      <w:r w:rsidRPr="00045332">
        <w:rPr>
          <w:sz w:val="18"/>
        </w:rPr>
        <w:t>(3):74-7.</w:t>
      </w:r>
    </w:p>
    <w:p w:rsidR="00F00D5F" w:rsidRPr="00F00D5F" w:rsidRDefault="00F00D5F" w:rsidP="002A50EB">
      <w:pPr>
        <w:pStyle w:val="ListParagraph"/>
        <w:numPr>
          <w:ilvl w:val="0"/>
          <w:numId w:val="3"/>
        </w:numPr>
        <w:tabs>
          <w:tab w:val="left" w:pos="384"/>
        </w:tabs>
        <w:spacing w:before="85" w:line="216" w:lineRule="exact"/>
        <w:ind w:right="138"/>
        <w:rPr>
          <w:sz w:val="18"/>
        </w:rPr>
      </w:pPr>
      <w:r w:rsidRPr="00F00D5F">
        <w:rPr>
          <w:sz w:val="18"/>
        </w:rPr>
        <w:t>Mortazavi M, Zarenezhad M, Gholamzadeh S, Alavian SM, Ghorbani M, Dehghani R, et al. Bioinformatic Identification of Rare Codon Clusters (RCCs) in HBV Genome and Evaluation of RCCs in Proteins Structure of Hepatitis B Virus. Hepatitis monthly. 2016</w:t>
      </w:r>
      <w:proofErr w:type="gramStart"/>
      <w:r w:rsidRPr="00F00D5F">
        <w:rPr>
          <w:sz w:val="18"/>
        </w:rPr>
        <w:t>;16</w:t>
      </w:r>
      <w:proofErr w:type="gramEnd"/>
      <w:r w:rsidRPr="00F00D5F">
        <w:rPr>
          <w:sz w:val="18"/>
        </w:rPr>
        <w:t>(10).</w:t>
      </w:r>
    </w:p>
    <w:p w:rsidR="00AE3E37" w:rsidRPr="008756E6" w:rsidRDefault="00F00D5F" w:rsidP="00F00D5F">
      <w:pPr>
        <w:pStyle w:val="ListParagraph"/>
        <w:numPr>
          <w:ilvl w:val="0"/>
          <w:numId w:val="3"/>
        </w:numPr>
        <w:tabs>
          <w:tab w:val="left" w:pos="384"/>
        </w:tabs>
        <w:spacing w:before="85" w:line="216" w:lineRule="exact"/>
        <w:ind w:right="138"/>
      </w:pPr>
      <w:r w:rsidRPr="00F00D5F">
        <w:rPr>
          <w:sz w:val="18"/>
        </w:rPr>
        <w:t>Mortazavi M, Zarenezhad M, Alavian SM, Gholamzadeh S,</w:t>
      </w:r>
      <w:r w:rsidRPr="00F00D5F">
        <w:t xml:space="preserve"> Malekpour A, Ghorbani M, et al. Bioinformatic Analysis of Codon Usage and Phylogenetic Relationships in Different Genotypes of the Hepatitis C Virus. Hepatitis monthly. 2016</w:t>
      </w:r>
      <w:proofErr w:type="gramStart"/>
      <w:r w:rsidRPr="00F00D5F">
        <w:t>;16</w:t>
      </w:r>
      <w:proofErr w:type="gramEnd"/>
      <w:r w:rsidRPr="00F00D5F">
        <w:t>(10).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73054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E84E9C" w:rsidP="000C5259">
      <w:pPr>
        <w:spacing w:before="41" w:line="154" w:lineRule="exact"/>
        <w:ind w:left="213" w:right="231"/>
        <w:jc w:val="both"/>
        <w:rPr>
          <w:rFonts w:ascii="Arial"/>
          <w:sz w:val="14"/>
        </w:rPr>
      </w:pPr>
      <w:r>
        <w:rPr>
          <w:rFonts w:ascii="Arial"/>
          <w:sz w:val="14"/>
        </w:rPr>
        <w:t>The authors of this study have developed their</w:t>
      </w:r>
      <w:r w:rsidR="00A9710C">
        <w:rPr>
          <w:rFonts w:ascii="Arial"/>
          <w:sz w:val="14"/>
        </w:rPr>
        <w:t xml:space="preserve"> expertise in </w:t>
      </w:r>
      <w:r>
        <w:rPr>
          <w:rFonts w:ascii="Arial"/>
          <w:sz w:val="14"/>
        </w:rPr>
        <w:t>forensic medicine and forensic toxicology</w:t>
      </w:r>
      <w:r w:rsidR="00A9710C">
        <w:rPr>
          <w:rFonts w:ascii="Arial"/>
          <w:sz w:val="14"/>
        </w:rPr>
        <w:t xml:space="preserve">. </w:t>
      </w:r>
      <w:r w:rsidR="000C5259">
        <w:rPr>
          <w:rFonts w:ascii="Arial"/>
          <w:sz w:val="14"/>
        </w:rPr>
        <w:t xml:space="preserve">They improved new detective methods for detection of trace elements and toxic agents </w:t>
      </w:r>
      <w:r w:rsidR="00DC42AF">
        <w:rPr>
          <w:rFonts w:ascii="Arial"/>
          <w:sz w:val="14"/>
        </w:rPr>
        <w:t>in biological samples.</w:t>
      </w:r>
      <w:bookmarkStart w:id="0" w:name="_GoBack"/>
      <w:bookmarkEnd w:id="0"/>
      <w:r w:rsidR="00DC42AF">
        <w:rPr>
          <w:rFonts w:ascii="Arial"/>
          <w:sz w:val="14"/>
        </w:rPr>
        <w:t xml:space="preserve"> </w:t>
      </w:r>
    </w:p>
    <w:p w:rsidR="00AE3E37" w:rsidRDefault="00A9710C" w:rsidP="00DC42AF">
      <w:pPr>
        <w:spacing w:before="62"/>
        <w:ind w:left="4217" w:right="4030"/>
        <w:jc w:val="center"/>
        <w:rPr>
          <w:rFonts w:ascii="Arial"/>
          <w:sz w:val="14"/>
        </w:rPr>
      </w:pPr>
      <w:r>
        <w:rPr>
          <w:rFonts w:ascii="Arial"/>
          <w:sz w:val="14"/>
        </w:rPr>
        <w:t xml:space="preserve">Email: </w:t>
      </w:r>
      <w:hyperlink r:id="rId9" w:history="1">
        <w:r w:rsidR="00DC42AF" w:rsidRPr="00591AA3">
          <w:rPr>
            <w:rStyle w:val="Hyperlink"/>
            <w:rFonts w:ascii="Arial"/>
            <w:sz w:val="14"/>
          </w:rPr>
          <w:t>farslegalmedicine@gmail.com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CC3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56D" w:rsidRDefault="000A356D">
      <w:r>
        <w:separator/>
      </w:r>
    </w:p>
  </w:endnote>
  <w:endnote w:type="continuationSeparator" w:id="0">
    <w:p w:rsidR="000A356D" w:rsidRDefault="000A3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56D" w:rsidRDefault="000A356D">
      <w:r>
        <w:separator/>
      </w:r>
    </w:p>
  </w:footnote>
  <w:footnote w:type="continuationSeparator" w:id="0">
    <w:p w:rsidR="000A356D" w:rsidRDefault="000A35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5332"/>
    <w:rsid w:val="000A356D"/>
    <w:rsid w:val="000C5259"/>
    <w:rsid w:val="000E2911"/>
    <w:rsid w:val="001263DF"/>
    <w:rsid w:val="0017511E"/>
    <w:rsid w:val="002455EC"/>
    <w:rsid w:val="00292ED9"/>
    <w:rsid w:val="00404E5B"/>
    <w:rsid w:val="00414F7B"/>
    <w:rsid w:val="004355DC"/>
    <w:rsid w:val="0044028E"/>
    <w:rsid w:val="004749B4"/>
    <w:rsid w:val="00494130"/>
    <w:rsid w:val="00494336"/>
    <w:rsid w:val="004A77D2"/>
    <w:rsid w:val="004F3523"/>
    <w:rsid w:val="005973B9"/>
    <w:rsid w:val="005B3A56"/>
    <w:rsid w:val="006060CE"/>
    <w:rsid w:val="0063497F"/>
    <w:rsid w:val="006C1C79"/>
    <w:rsid w:val="0075377D"/>
    <w:rsid w:val="0079598D"/>
    <w:rsid w:val="00873DF0"/>
    <w:rsid w:val="008756E6"/>
    <w:rsid w:val="008A08B6"/>
    <w:rsid w:val="008D0EE6"/>
    <w:rsid w:val="009B2D44"/>
    <w:rsid w:val="00A07E82"/>
    <w:rsid w:val="00A86C3D"/>
    <w:rsid w:val="00A9710C"/>
    <w:rsid w:val="00AE3E37"/>
    <w:rsid w:val="00B21A57"/>
    <w:rsid w:val="00BC4774"/>
    <w:rsid w:val="00C33602"/>
    <w:rsid w:val="00CD6F55"/>
    <w:rsid w:val="00D1777D"/>
    <w:rsid w:val="00D864D6"/>
    <w:rsid w:val="00DC42AF"/>
    <w:rsid w:val="00DE3104"/>
    <w:rsid w:val="00E26B10"/>
    <w:rsid w:val="00E84E9C"/>
    <w:rsid w:val="00EE12C0"/>
    <w:rsid w:val="00F00D5F"/>
    <w:rsid w:val="00F1064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0E5B4-DFFC-49A2-8014-B60E144F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arslegalmedicine@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2017-08-22T11:32:00Z</dcterms:created>
  <dcterms:modified xsi:type="dcterms:W3CDTF">2017-08-22T11:32:00Z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