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A59DD6" w14:textId="6B863067" w:rsidR="008C60D6" w:rsidRDefault="00B038F6">
      <w:bookmarkStart w:id="0" w:name="_GoBack"/>
      <w:r>
        <w:t xml:space="preserve">The use of the term “No Observed Adverse </w:t>
      </w:r>
      <w:r w:rsidR="005F4102">
        <w:t xml:space="preserve">Effect </w:t>
      </w:r>
      <w:r>
        <w:t xml:space="preserve">Level” to address the significance of compound effects in toxicology studies has </w:t>
      </w:r>
      <w:r w:rsidR="00FA4624">
        <w:t>led to further definition of what the word “adverse” means. The OECD and the Society of Toxicologic Pathology</w:t>
      </w:r>
      <w:r>
        <w:t xml:space="preserve"> </w:t>
      </w:r>
      <w:r w:rsidR="00FA4624">
        <w:t xml:space="preserve">have </w:t>
      </w:r>
      <w:r w:rsidR="00F73796">
        <w:t>attempted</w:t>
      </w:r>
      <w:r w:rsidR="00FA4624">
        <w:t xml:space="preserve"> to </w:t>
      </w:r>
      <w:r w:rsidR="00F73796">
        <w:t>place</w:t>
      </w:r>
      <w:r w:rsidR="00FA4624">
        <w:t xml:space="preserve"> the word “adverse” into a consistent and reasonable </w:t>
      </w:r>
      <w:r w:rsidR="001A3EE1">
        <w:t>context</w:t>
      </w:r>
      <w:r w:rsidR="00FA4624">
        <w:t xml:space="preserve">. </w:t>
      </w:r>
      <w:r w:rsidR="005F4102">
        <w:t>Since</w:t>
      </w:r>
      <w:r w:rsidR="00F73796">
        <w:t xml:space="preserve"> the reversibility of a change has a significant impact on the overall risk management of the changes observed in toxicology studies,</w:t>
      </w:r>
      <w:r>
        <w:t xml:space="preserve"> </w:t>
      </w:r>
      <w:r w:rsidR="005F4102">
        <w:t xml:space="preserve">it has </w:t>
      </w:r>
      <w:r>
        <w:t>led to the widespread use of “reversibility groups” in the design of toxicology studies.</w:t>
      </w:r>
      <w:r w:rsidR="00CA53AD">
        <w:t xml:space="preserve"> The condition of reversible speaks more about the kind of change that it is, </w:t>
      </w:r>
      <w:r w:rsidR="005F4102">
        <w:t>but some people discuss the need to identify a dose</w:t>
      </w:r>
      <w:r w:rsidR="00CA53AD">
        <w:t xml:space="preserve"> </w:t>
      </w:r>
      <w:r w:rsidR="005F4102">
        <w:t>level where</w:t>
      </w:r>
      <w:r w:rsidR="00CA53AD">
        <w:t xml:space="preserve"> </w:t>
      </w:r>
      <w:r w:rsidR="005F4102">
        <w:t>the effect</w:t>
      </w:r>
      <w:r w:rsidR="00CA53AD">
        <w:t xml:space="preserve"> is rever</w:t>
      </w:r>
      <w:r w:rsidR="005F4102">
        <w:t xml:space="preserve">sible. The severity of the condition also may affect the reversibility. And there are also some expectations of observing delayed toxicity in the reversibility groups. Also, complicating these issues, is the fact that there are some progressive spontaneous conditions in animals where reversibility is not expected. The nomenclature is also a point of discussion, as some people object to the term “reversibility groups” and prefer the term “recovery” groups. How these differences apply to our work is of significance. Lastly, how long and when to observe the animals in these recovery groups, as well as what kinds of and frequency of sampling of biomarkers is a point of contention. We will use some case examples to discuss these various points, as well as reviewing the regulatory climate for addressing the reversibility of compound related toxicologic effects. </w:t>
      </w:r>
    </w:p>
    <w:bookmarkEnd w:id="0"/>
    <w:sectPr w:rsidR="008C60D6" w:rsidSect="00511B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116"/>
    <w:rsid w:val="001A3EE1"/>
    <w:rsid w:val="00511B42"/>
    <w:rsid w:val="005F4102"/>
    <w:rsid w:val="00606116"/>
    <w:rsid w:val="008C60D6"/>
    <w:rsid w:val="00B038F6"/>
    <w:rsid w:val="00CA53AD"/>
    <w:rsid w:val="00F73796"/>
    <w:rsid w:val="00FA462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D6CFC9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237</Words>
  <Characters>1351</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Ochoa</dc:creator>
  <cp:keywords/>
  <dc:description/>
  <cp:lastModifiedBy>Ricardo Ochoa</cp:lastModifiedBy>
  <cp:revision>5</cp:revision>
  <dcterms:created xsi:type="dcterms:W3CDTF">2018-03-04T18:08:00Z</dcterms:created>
  <dcterms:modified xsi:type="dcterms:W3CDTF">2018-03-05T17:19:00Z</dcterms:modified>
</cp:coreProperties>
</file>