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1DD88" w14:textId="7638EF98" w:rsidR="008C3ACE" w:rsidRDefault="008C3ACE" w:rsidP="00A22DBE">
      <w:pPr>
        <w:pStyle w:val="Heading1"/>
        <w:ind w:left="0" w:right="1062"/>
      </w:pPr>
    </w:p>
    <w:p w14:paraId="195C5FAF" w14:textId="77777777" w:rsidR="008C3ACE" w:rsidRDefault="008C3ACE">
      <w:pPr>
        <w:pStyle w:val="BodyText"/>
        <w:rPr>
          <w:b/>
          <w:sz w:val="14"/>
        </w:rPr>
      </w:pPr>
    </w:p>
    <w:p w14:paraId="5600A547" w14:textId="6F54AEDF" w:rsidR="00A22DBE" w:rsidRPr="00A22DBE" w:rsidRDefault="00A22DBE" w:rsidP="00A22DBE">
      <w:pPr>
        <w:spacing w:before="720" w:after="360" w:line="480" w:lineRule="auto"/>
        <w:jc w:val="both"/>
        <w:rPr>
          <w:b/>
        </w:rPr>
      </w:pPr>
      <w:r>
        <w:rPr>
          <w:b/>
        </w:rPr>
        <w:t xml:space="preserve">          </w:t>
      </w:r>
      <w:r w:rsidRPr="00A22DBE">
        <w:rPr>
          <w:b/>
        </w:rPr>
        <w:t xml:space="preserve">Nanofibrous Injectable and thermosensitive hydrogel for bone tissue engineering </w:t>
      </w:r>
    </w:p>
    <w:p w14:paraId="3CE20AB2" w14:textId="5EDF20FD" w:rsidR="008C3ACE" w:rsidRDefault="00A22DBE" w:rsidP="00A22DBE">
      <w:pPr>
        <w:spacing w:after="240" w:line="480" w:lineRule="auto"/>
        <w:jc w:val="both"/>
        <w:rPr>
          <w:sz w:val="19"/>
          <w:szCs w:val="19"/>
          <w:vertAlign w:val="superscript"/>
        </w:rPr>
      </w:pPr>
      <w:r w:rsidRPr="00A22DBE">
        <w:rPr>
          <w:sz w:val="19"/>
          <w:szCs w:val="19"/>
        </w:rPr>
        <w:t xml:space="preserve">                </w:t>
      </w:r>
      <w:proofErr w:type="spellStart"/>
      <w:r w:rsidRPr="00A22DBE">
        <w:rPr>
          <w:sz w:val="19"/>
          <w:szCs w:val="19"/>
        </w:rPr>
        <w:t>Geeta</w:t>
      </w:r>
      <w:proofErr w:type="spellEnd"/>
      <w:r w:rsidRPr="00A22DBE">
        <w:rPr>
          <w:sz w:val="19"/>
          <w:szCs w:val="19"/>
        </w:rPr>
        <w:t xml:space="preserve"> </w:t>
      </w:r>
      <w:proofErr w:type="spellStart"/>
      <w:r w:rsidRPr="00A22DBE">
        <w:rPr>
          <w:sz w:val="19"/>
          <w:szCs w:val="19"/>
        </w:rPr>
        <w:t>Kumari</w:t>
      </w:r>
      <w:proofErr w:type="spellEnd"/>
      <w:r w:rsidRPr="00A22DBE">
        <w:rPr>
          <w:sz w:val="19"/>
          <w:szCs w:val="19"/>
        </w:rPr>
        <w:t xml:space="preserve"> </w:t>
      </w:r>
      <w:proofErr w:type="spellStart"/>
      <w:r w:rsidRPr="00A22DBE">
        <w:rPr>
          <w:sz w:val="19"/>
          <w:szCs w:val="19"/>
        </w:rPr>
        <w:t>Wasupalli</w:t>
      </w:r>
      <w:proofErr w:type="spellEnd"/>
      <w:r w:rsidRPr="00A22DBE">
        <w:rPr>
          <w:sz w:val="19"/>
          <w:szCs w:val="19"/>
        </w:rPr>
        <w:t xml:space="preserve"> </w:t>
      </w:r>
      <w:r w:rsidRPr="00A22DBE">
        <w:rPr>
          <w:sz w:val="19"/>
          <w:szCs w:val="19"/>
          <w:vertAlign w:val="superscript"/>
        </w:rPr>
        <w:t>1</w:t>
      </w:r>
      <w:r w:rsidRPr="00A22DBE">
        <w:rPr>
          <w:sz w:val="19"/>
          <w:szCs w:val="19"/>
        </w:rPr>
        <w:t xml:space="preserve">, Devendra </w:t>
      </w:r>
      <w:proofErr w:type="spellStart"/>
      <w:r w:rsidRPr="00A22DBE">
        <w:rPr>
          <w:sz w:val="19"/>
          <w:szCs w:val="19"/>
        </w:rPr>
        <w:t>Verma</w:t>
      </w:r>
      <w:proofErr w:type="spellEnd"/>
      <w:r>
        <w:rPr>
          <w:sz w:val="19"/>
          <w:szCs w:val="19"/>
          <w:vertAlign w:val="superscript"/>
        </w:rPr>
        <w:t xml:space="preserve"> </w:t>
      </w:r>
    </w:p>
    <w:p w14:paraId="617EB414" w14:textId="1727063D" w:rsidR="00A22DBE" w:rsidRPr="006B494A" w:rsidRDefault="00A22DBE" w:rsidP="00A22DBE">
      <w:pPr>
        <w:pStyle w:val="ListParagraph"/>
        <w:ind w:left="0"/>
        <w:jc w:val="both"/>
        <w:rPr>
          <w:sz w:val="19"/>
          <w:szCs w:val="19"/>
        </w:rPr>
      </w:pPr>
      <w:r>
        <w:rPr>
          <w:sz w:val="19"/>
          <w:szCs w:val="19"/>
          <w:vertAlign w:val="superscript"/>
        </w:rPr>
        <w:t xml:space="preserve">                                     </w:t>
      </w:r>
      <w:r w:rsidRPr="006B494A">
        <w:rPr>
          <w:sz w:val="19"/>
          <w:szCs w:val="19"/>
          <w:vertAlign w:val="superscript"/>
        </w:rPr>
        <w:t xml:space="preserve">1 </w:t>
      </w:r>
      <w:r w:rsidRPr="006B494A">
        <w:rPr>
          <w:noProof/>
          <w:sz w:val="19"/>
          <w:szCs w:val="19"/>
        </w:rPr>
        <w:t>Department of Biotechnology and Medical Engineering, National Institute of Technology, Rourkela, Odisha</w:t>
      </w:r>
      <w:r w:rsidRPr="006B494A">
        <w:rPr>
          <w:sz w:val="19"/>
          <w:szCs w:val="19"/>
        </w:rPr>
        <w:t xml:space="preserve"> 769008, India,</w:t>
      </w:r>
    </w:p>
    <w:p w14:paraId="54CF5010" w14:textId="7BECBA98" w:rsidR="00A22DBE" w:rsidRPr="006B494A" w:rsidRDefault="00A22DBE" w:rsidP="00A22DBE">
      <w:pPr>
        <w:jc w:val="both"/>
        <w:rPr>
          <w:sz w:val="19"/>
          <w:szCs w:val="19"/>
        </w:rPr>
      </w:pPr>
      <w:r>
        <w:rPr>
          <w:sz w:val="19"/>
          <w:szCs w:val="19"/>
          <w:vertAlign w:val="superscript"/>
        </w:rPr>
        <w:t xml:space="preserve">                      </w:t>
      </w:r>
      <w:r w:rsidRPr="006B494A">
        <w:rPr>
          <w:sz w:val="19"/>
          <w:szCs w:val="19"/>
          <w:vertAlign w:val="superscript"/>
        </w:rPr>
        <w:t xml:space="preserve">2 </w:t>
      </w:r>
      <w:r w:rsidRPr="006B494A">
        <w:rPr>
          <w:noProof/>
          <w:sz w:val="19"/>
          <w:szCs w:val="19"/>
        </w:rPr>
        <w:t>Department of Biotechnology and Medical Engineering, National Institute of Technology, Rourkela, Odisha</w:t>
      </w:r>
      <w:r w:rsidRPr="006B494A">
        <w:rPr>
          <w:sz w:val="19"/>
          <w:szCs w:val="19"/>
        </w:rPr>
        <w:t xml:space="preserve"> 769008, India.</w:t>
      </w:r>
    </w:p>
    <w:p w14:paraId="31016BFE" w14:textId="04483750" w:rsidR="00A22DBE" w:rsidRPr="00A22DBE" w:rsidRDefault="00A22DBE" w:rsidP="00A22DBE">
      <w:pPr>
        <w:spacing w:after="240" w:line="480" w:lineRule="auto"/>
        <w:jc w:val="both"/>
        <w:rPr>
          <w:sz w:val="19"/>
          <w:szCs w:val="19"/>
          <w:vertAlign w:val="superscript"/>
        </w:rPr>
      </w:pPr>
    </w:p>
    <w:p w14:paraId="1A7BD72D" w14:textId="77777777" w:rsidR="008C3ACE" w:rsidRDefault="008C3ACE">
      <w:pPr>
        <w:sectPr w:rsidR="008C3ACE" w:rsidSect="002E682A">
          <w:headerReference w:type="default" r:id="rId7"/>
          <w:footerReference w:type="default" r:id="rId8"/>
          <w:type w:val="continuous"/>
          <w:pgSz w:w="11910" w:h="16840"/>
          <w:pgMar w:top="642" w:right="180" w:bottom="280" w:left="140" w:header="152" w:footer="160" w:gutter="0"/>
          <w:cols w:space="720"/>
        </w:sectPr>
      </w:pPr>
    </w:p>
    <w:p w14:paraId="7C2436A1" w14:textId="1D50EADC" w:rsidR="00E449FE" w:rsidRDefault="00E449FE" w:rsidP="00E449FE">
      <w:pPr>
        <w:spacing w:line="480" w:lineRule="auto"/>
        <w:rPr>
          <w:sz w:val="19"/>
          <w:szCs w:val="19"/>
        </w:rPr>
      </w:pPr>
      <w:r>
        <w:rPr>
          <w:color w:val="585858"/>
        </w:rPr>
        <w:lastRenderedPageBreak/>
        <w:t xml:space="preserve">         </w:t>
      </w:r>
      <w:r w:rsidR="00B5063E" w:rsidRPr="009B41CE">
        <w:rPr>
          <w:color w:val="585858"/>
          <w:sz w:val="19"/>
          <w:szCs w:val="19"/>
        </w:rPr>
        <w:t>Keywords</w:t>
      </w:r>
      <w:r w:rsidR="00B5063E">
        <w:rPr>
          <w:color w:val="585858"/>
        </w:rPr>
        <w:t xml:space="preserve">: </w:t>
      </w:r>
      <w:r w:rsidRPr="002B339A">
        <w:rPr>
          <w:sz w:val="19"/>
          <w:szCs w:val="19"/>
        </w:rPr>
        <w:t>Polyelectrol</w:t>
      </w:r>
      <w:r w:rsidR="009B41CE">
        <w:rPr>
          <w:sz w:val="19"/>
          <w:szCs w:val="19"/>
        </w:rPr>
        <w:t>yte complexes (PECs), Chitosan,</w:t>
      </w:r>
    </w:p>
    <w:p w14:paraId="76E5596A" w14:textId="2BD722DC" w:rsidR="008C3ACE" w:rsidRPr="009B41CE" w:rsidRDefault="009B41CE" w:rsidP="009B41CE">
      <w:pPr>
        <w:spacing w:line="480" w:lineRule="auto"/>
        <w:rPr>
          <w:sz w:val="19"/>
          <w:szCs w:val="19"/>
        </w:rPr>
      </w:pPr>
      <w:r>
        <w:rPr>
          <w:sz w:val="19"/>
          <w:szCs w:val="19"/>
        </w:rPr>
        <w:t xml:space="preserve">                             Hydrogels, Thermogelation</w:t>
      </w:r>
    </w:p>
    <w:p w14:paraId="3907491F" w14:textId="6BD28618" w:rsidR="008C3ACE" w:rsidRPr="009B41CE" w:rsidRDefault="009B41CE" w:rsidP="009B41CE">
      <w:pPr>
        <w:spacing w:before="720" w:after="360" w:line="480" w:lineRule="auto"/>
        <w:jc w:val="both"/>
        <w:rPr>
          <w:sz w:val="19"/>
          <w:szCs w:val="19"/>
        </w:rPr>
      </w:pPr>
      <w:r w:rsidRPr="003B5CAC">
        <w:rPr>
          <w:rStyle w:val="word"/>
          <w:sz w:val="19"/>
          <w:szCs w:val="19"/>
        </w:rPr>
        <w:t xml:space="preserve">At present, the use of injectable hydrogels is limited by the challenge of attaining quick gelation, excellent mechanical strength, and cytocompatibility. Polymeric self-assembly is a powerful tool to generate functional materials that combine multiple features and can respond to external factors. We have developed fiber-reinforced composite hydrogels in this study that display significantly increased mechanical strength, reduced gelling time, and excellent cytocompatibility. The feasibility of using self-assembled fibers of polyelectrolyte complex (PEC) with hydroxyapatite to develop a chitosan-based thermogelling solution was evaluated. By varying the concentration of βGP added to the chitosan solution, the effect of βGP concentration on gelation time was studied. Different combinations were screened to generate an appropriate hydrogel environment for cell encapsulation, development, and proliferation at physiological pH and temperature. Young modulus determination disclosed that hydrogel-reinforced PEC fibers were 2.5 times stiffer than chitosan-βGP gels. The gelation time was decreased to three minutes, and at physiological pH, temperature, the hydrogels had porous structures and gels and </w:t>
      </w:r>
      <w:proofErr w:type="gramStart"/>
      <w:r w:rsidRPr="003B5CAC">
        <w:rPr>
          <w:rStyle w:val="word"/>
          <w:sz w:val="19"/>
          <w:szCs w:val="19"/>
        </w:rPr>
        <w:t>showed  &gt;</w:t>
      </w:r>
      <w:proofErr w:type="gramEnd"/>
      <w:r w:rsidRPr="003B5CAC">
        <w:rPr>
          <w:rStyle w:val="word"/>
          <w:sz w:val="19"/>
          <w:szCs w:val="19"/>
        </w:rPr>
        <w:t xml:space="preserve"> 80% viability of MG63 cells for </w:t>
      </w:r>
      <w:r w:rsidRPr="003B5CAC">
        <w:rPr>
          <w:rStyle w:val="word"/>
          <w:sz w:val="19"/>
          <w:szCs w:val="19"/>
        </w:rPr>
        <w:lastRenderedPageBreak/>
        <w:t>MTT assay. Besides, PEC fiber-reinforced hydrogel confocal imaging showed noticeable viability and proliferation. FTIR was used to study the molecular interactions of gelling agents, polyelectrolytes, and hydroxyapatite. We researched interfacial bonding between βGP, NaHCO</w:t>
      </w:r>
      <w:r w:rsidRPr="003B5CAC">
        <w:rPr>
          <w:rStyle w:val="word"/>
          <w:sz w:val="19"/>
          <w:szCs w:val="19"/>
          <w:vertAlign w:val="subscript"/>
        </w:rPr>
        <w:t>3</w:t>
      </w:r>
      <w:r w:rsidRPr="003B5CAC">
        <w:rPr>
          <w:rStyle w:val="word"/>
          <w:sz w:val="19"/>
          <w:szCs w:val="19"/>
        </w:rPr>
        <w:t>, HAp, and PEC fibers. The combination of hydroxyapatite and polymer self-assembly technique has enhanced the feasibility of injectable hydrogels that help in minimally invasive applications.</w:t>
      </w:r>
    </w:p>
    <w:p w14:paraId="678CF244" w14:textId="7D0C1D14" w:rsidR="008C3ACE" w:rsidRDefault="008C3ACE">
      <w:pPr>
        <w:pStyle w:val="BodyText"/>
        <w:ind w:left="1238"/>
        <w:rPr>
          <w:sz w:val="20"/>
        </w:rPr>
      </w:pPr>
    </w:p>
    <w:p w14:paraId="253709E6" w14:textId="707EAA93" w:rsidR="008C3ACE" w:rsidRPr="00A847EC" w:rsidRDefault="00B5063E" w:rsidP="00A847EC">
      <w:pPr>
        <w:tabs>
          <w:tab w:val="left" w:pos="1758"/>
        </w:tabs>
        <w:spacing w:before="92"/>
        <w:rPr>
          <w:b/>
          <w:sz w:val="19"/>
        </w:rPr>
      </w:pPr>
      <w:r w:rsidRPr="00A847EC">
        <w:rPr>
          <w:b/>
          <w:color w:val="585858"/>
          <w:w w:val="99"/>
          <w:sz w:val="19"/>
        </w:rPr>
        <w:br w:type="column"/>
      </w:r>
      <w:r w:rsidR="00A847EC">
        <w:rPr>
          <w:b/>
          <w:color w:val="585858"/>
          <w:w w:val="99"/>
          <w:sz w:val="19"/>
        </w:rPr>
        <w:lastRenderedPageBreak/>
        <w:t xml:space="preserve">                </w:t>
      </w:r>
      <w:r w:rsidRPr="00A847EC">
        <w:rPr>
          <w:b/>
          <w:color w:val="585858"/>
          <w:sz w:val="19"/>
        </w:rPr>
        <w:t>Reference:</w:t>
      </w:r>
    </w:p>
    <w:p w14:paraId="4B83854F" w14:textId="77777777" w:rsidR="008C3ACE" w:rsidRDefault="008C3ACE">
      <w:pPr>
        <w:pStyle w:val="BodyText"/>
        <w:spacing w:before="9"/>
        <w:rPr>
          <w:b/>
          <w:sz w:val="18"/>
        </w:rPr>
      </w:pPr>
    </w:p>
    <w:p w14:paraId="0F9E0FDA" w14:textId="427C8DD4" w:rsidR="008C3ACE" w:rsidRPr="00A847EC" w:rsidRDefault="00B5063E" w:rsidP="00A847EC">
      <w:pPr>
        <w:pStyle w:val="BodyText"/>
        <w:tabs>
          <w:tab w:val="left" w:pos="1037"/>
        </w:tabs>
        <w:spacing w:line="276" w:lineRule="auto"/>
        <w:ind w:left="1037" w:right="696" w:hanging="360"/>
      </w:pPr>
      <w:r>
        <w:rPr>
          <w:color w:val="585858"/>
        </w:rPr>
        <w:t>1</w:t>
      </w:r>
      <w:r w:rsidRPr="00A847EC">
        <w:tab/>
      </w:r>
      <w:r w:rsidR="00BD3101" w:rsidRPr="00A847EC">
        <w:rPr>
          <w:noProof/>
        </w:rPr>
        <w:t>J. Fu, F. Yang, Z. Guo, The chitosan hydrogels: from structure to function, New J. Chem. 42 (2018) 17162–17180</w:t>
      </w:r>
    </w:p>
    <w:p w14:paraId="3DD2E41B" w14:textId="242843B4" w:rsidR="008C3ACE" w:rsidRPr="00A847EC" w:rsidRDefault="008C3ACE" w:rsidP="00A847EC">
      <w:pPr>
        <w:pStyle w:val="BodyText"/>
        <w:spacing w:before="11" w:line="276" w:lineRule="auto"/>
        <w:rPr>
          <w:sz w:val="18"/>
        </w:rPr>
      </w:pPr>
    </w:p>
    <w:p w14:paraId="75DCA4E4" w14:textId="028FA0E8" w:rsidR="008C3ACE" w:rsidRPr="00A847EC" w:rsidRDefault="00A847EC" w:rsidP="00A847EC">
      <w:pPr>
        <w:pStyle w:val="ListParagraph"/>
        <w:numPr>
          <w:ilvl w:val="0"/>
          <w:numId w:val="2"/>
        </w:numPr>
        <w:tabs>
          <w:tab w:val="left" w:pos="1037"/>
          <w:tab w:val="left" w:pos="1038"/>
        </w:tabs>
        <w:spacing w:line="276" w:lineRule="auto"/>
      </w:pPr>
      <w:r w:rsidRPr="00A847EC">
        <w:rPr>
          <w:noProof/>
          <w:sz w:val="19"/>
          <w:szCs w:val="19"/>
        </w:rPr>
        <w:t>J.H. Lee, Injectable hydrogels delivering therapeutic agents for disease treatment and tissue engineering, Biomater. Res. 22 (2018) 1–14.</w:t>
      </w:r>
    </w:p>
    <w:p w14:paraId="5B1C8D31" w14:textId="35F3E04C" w:rsidR="00A847EC" w:rsidRPr="00A847EC" w:rsidRDefault="00B35A56" w:rsidP="00A847EC">
      <w:pPr>
        <w:pStyle w:val="ListParagraph"/>
        <w:tabs>
          <w:tab w:val="left" w:pos="1037"/>
          <w:tab w:val="left" w:pos="1038"/>
        </w:tabs>
        <w:spacing w:line="276" w:lineRule="auto"/>
        <w:ind w:left="1037" w:firstLine="0"/>
      </w:pPr>
      <w:r>
        <w:t xml:space="preserve">                                                                                         </w:t>
      </w:r>
    </w:p>
    <w:p w14:paraId="2CAEAC3A" w14:textId="772CD12B" w:rsidR="008C3ACE" w:rsidRPr="00A847EC" w:rsidRDefault="00A847EC" w:rsidP="00A847EC">
      <w:pPr>
        <w:pStyle w:val="ListParagraph"/>
        <w:numPr>
          <w:ilvl w:val="0"/>
          <w:numId w:val="2"/>
        </w:numPr>
        <w:tabs>
          <w:tab w:val="left" w:pos="1037"/>
          <w:tab w:val="left" w:pos="1038"/>
        </w:tabs>
        <w:spacing w:line="276" w:lineRule="auto"/>
        <w:ind w:right="612"/>
        <w:rPr>
          <w:sz w:val="19"/>
        </w:rPr>
      </w:pPr>
      <w:r w:rsidRPr="00A847EC">
        <w:rPr>
          <w:noProof/>
          <w:sz w:val="19"/>
          <w:szCs w:val="19"/>
        </w:rPr>
        <w:t>G.K. Wasupalli, D. Verma, Molecular interactions in self-assembled nanostructures of chitosan-sodium alginate based polyelectrolyte complexes, Int. J. Biol. Macromol. 114 (2018) 10–17.</w:t>
      </w:r>
      <w:r w:rsidRPr="00A847EC">
        <w:rPr>
          <w:noProof/>
          <w:sz w:val="24"/>
          <w:szCs w:val="24"/>
        </w:rPr>
        <w:t xml:space="preserve"> </w:t>
      </w:r>
    </w:p>
    <w:p w14:paraId="4411E80A" w14:textId="77777777" w:rsidR="008C3ACE" w:rsidRDefault="008C3ACE">
      <w:pPr>
        <w:pStyle w:val="BodyText"/>
        <w:spacing w:before="2"/>
      </w:pPr>
    </w:p>
    <w:p w14:paraId="7DFF9F98" w14:textId="6B2B2270" w:rsidR="008C3ACE" w:rsidRDefault="00390544" w:rsidP="00E73D44">
      <w:pPr>
        <w:pStyle w:val="Heading3"/>
        <w:tabs>
          <w:tab w:val="left" w:pos="1758"/>
        </w:tabs>
        <w:ind w:left="0" w:firstLine="0"/>
      </w:pPr>
      <w:r>
        <w:rPr>
          <w:color w:val="585858"/>
        </w:rPr>
        <w:t xml:space="preserve">       </w:t>
      </w:r>
      <w:bookmarkStart w:id="0" w:name="_GoBack"/>
      <w:bookmarkEnd w:id="0"/>
      <w:r w:rsidR="00B5063E">
        <w:rPr>
          <w:color w:val="585858"/>
        </w:rPr>
        <w:t>Biography:</w:t>
      </w:r>
    </w:p>
    <w:p w14:paraId="729BF5C3" w14:textId="52EBCA19" w:rsidR="008C3ACE" w:rsidRDefault="00E73D44" w:rsidP="00E73D44">
      <w:pPr>
        <w:pStyle w:val="BodyText"/>
        <w:spacing w:before="119"/>
        <w:ind w:left="316" w:right="381"/>
        <w:jc w:val="both"/>
      </w:pPr>
      <w:proofErr w:type="spellStart"/>
      <w:r>
        <w:rPr>
          <w:color w:val="585858"/>
        </w:rPr>
        <w:t>Wasupalli</w:t>
      </w:r>
      <w:proofErr w:type="spellEnd"/>
      <w:r>
        <w:rPr>
          <w:color w:val="585858"/>
        </w:rPr>
        <w:t xml:space="preserve"> </w:t>
      </w:r>
      <w:proofErr w:type="spellStart"/>
      <w:r>
        <w:rPr>
          <w:color w:val="585858"/>
        </w:rPr>
        <w:t>Geeta</w:t>
      </w:r>
      <w:proofErr w:type="spellEnd"/>
      <w:r>
        <w:rPr>
          <w:color w:val="585858"/>
        </w:rPr>
        <w:t xml:space="preserve"> </w:t>
      </w:r>
      <w:proofErr w:type="spellStart"/>
      <w:r>
        <w:rPr>
          <w:color w:val="585858"/>
        </w:rPr>
        <w:t>Kumari</w:t>
      </w:r>
      <w:proofErr w:type="spellEnd"/>
      <w:r>
        <w:rPr>
          <w:color w:val="585858"/>
        </w:rPr>
        <w:t xml:space="preserve"> is a Ph.D. scholar in Biotechnology and Medical Engineering at National Institute of Technology, India, working under the supervision of Dr. Devendra </w:t>
      </w:r>
      <w:proofErr w:type="spellStart"/>
      <w:r>
        <w:rPr>
          <w:color w:val="585858"/>
        </w:rPr>
        <w:t>Verma</w:t>
      </w:r>
      <w:proofErr w:type="spellEnd"/>
      <w:r>
        <w:rPr>
          <w:color w:val="585858"/>
        </w:rPr>
        <w:t xml:space="preserve">. </w:t>
      </w:r>
      <w:r>
        <w:rPr>
          <w:color w:val="585858"/>
        </w:rPr>
        <w:lastRenderedPageBreak/>
        <w:t xml:space="preserve">Her research interest is in the development of polymeric scaffolds with high wet strength for bone tissue engineering. Her research interest includes bioinspired hydrogels, self-assembly biopolymers, biomaterials, and tissue engineering. </w:t>
      </w:r>
    </w:p>
    <w:p w14:paraId="7259D8F8" w14:textId="77777777" w:rsidR="00CE1C74" w:rsidRDefault="00CE1C74">
      <w:pPr>
        <w:pStyle w:val="BodyText"/>
        <w:spacing w:before="7"/>
        <w:rPr>
          <w:b/>
          <w:noProof/>
          <w:sz w:val="15"/>
          <w:lang w:val="en-IN" w:eastAsia="en-IN"/>
        </w:rPr>
      </w:pPr>
      <w:r>
        <w:rPr>
          <w:b/>
          <w:noProof/>
          <w:sz w:val="15"/>
          <w:lang w:val="en-IN" w:eastAsia="en-IN"/>
        </w:rPr>
        <w:t xml:space="preserve">         </w:t>
      </w:r>
    </w:p>
    <w:p w14:paraId="64303326" w14:textId="48E9A1F5" w:rsidR="008C3ACE" w:rsidRDefault="00CE1C74">
      <w:pPr>
        <w:pStyle w:val="BodyText"/>
        <w:spacing w:before="7"/>
        <w:rPr>
          <w:b/>
          <w:sz w:val="15"/>
        </w:rPr>
      </w:pPr>
      <w:r>
        <w:rPr>
          <w:b/>
          <w:noProof/>
          <w:sz w:val="15"/>
          <w:lang w:val="en-IN" w:eastAsia="en-IN"/>
        </w:rPr>
        <w:t xml:space="preserve">         </w:t>
      </w:r>
      <w:r w:rsidRPr="00B35A56">
        <w:rPr>
          <w:b/>
          <w:noProof/>
          <w:sz w:val="15"/>
          <w:lang w:val="en-IN" w:eastAsia="en-IN"/>
        </w:rPr>
        <w:drawing>
          <wp:inline distT="0" distB="0" distL="0" distR="0" wp14:anchorId="06D16F6D" wp14:editId="2BAC5C3A">
            <wp:extent cx="933450" cy="1035378"/>
            <wp:effectExtent l="0" t="0" r="0" b="0"/>
            <wp:docPr id="2" name="Picture 2" descr="C:\Users\user\Desktop\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e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4301" cy="1047414"/>
                    </a:xfrm>
                    <a:prstGeom prst="rect">
                      <a:avLst/>
                    </a:prstGeom>
                    <a:noFill/>
                    <a:ln>
                      <a:noFill/>
                    </a:ln>
                  </pic:spPr>
                </pic:pic>
              </a:graphicData>
            </a:graphic>
          </wp:inline>
        </w:drawing>
      </w:r>
    </w:p>
    <w:p w14:paraId="642D85FF" w14:textId="27DABE5F" w:rsidR="00E73D44" w:rsidRDefault="00B5063E">
      <w:pPr>
        <w:pStyle w:val="BodyText"/>
        <w:spacing w:before="172"/>
        <w:ind w:left="316" w:right="4143"/>
        <w:rPr>
          <w:color w:val="585858"/>
        </w:rPr>
      </w:pPr>
      <w:r>
        <w:rPr>
          <w:color w:val="585858"/>
        </w:rPr>
        <w:t>Full Name:</w:t>
      </w:r>
      <w:r w:rsidR="00E73D44">
        <w:rPr>
          <w:color w:val="585858"/>
        </w:rPr>
        <w:t xml:space="preserve"> </w:t>
      </w:r>
      <w:proofErr w:type="spellStart"/>
      <w:r w:rsidR="00E73D44">
        <w:rPr>
          <w:color w:val="585858"/>
        </w:rPr>
        <w:t>Wasupalli</w:t>
      </w:r>
      <w:proofErr w:type="spellEnd"/>
      <w:r w:rsidR="00E73D44">
        <w:rPr>
          <w:color w:val="585858"/>
        </w:rPr>
        <w:t xml:space="preserve"> </w:t>
      </w:r>
      <w:proofErr w:type="spellStart"/>
      <w:r w:rsidR="00E73D44">
        <w:rPr>
          <w:color w:val="585858"/>
        </w:rPr>
        <w:t>Geeta</w:t>
      </w:r>
      <w:proofErr w:type="spellEnd"/>
      <w:r w:rsidR="00E73D44">
        <w:rPr>
          <w:color w:val="585858"/>
        </w:rPr>
        <w:t xml:space="preserve"> </w:t>
      </w:r>
      <w:proofErr w:type="spellStart"/>
      <w:r w:rsidR="00E73D44">
        <w:rPr>
          <w:color w:val="585858"/>
        </w:rPr>
        <w:t>Kumari</w:t>
      </w:r>
      <w:proofErr w:type="spellEnd"/>
      <w:r w:rsidR="00E73D44">
        <w:rPr>
          <w:color w:val="585858"/>
        </w:rPr>
        <w:t xml:space="preserve">          </w:t>
      </w:r>
      <w:r>
        <w:rPr>
          <w:color w:val="585858"/>
        </w:rPr>
        <w:t xml:space="preserve"> </w:t>
      </w:r>
      <w:r w:rsidR="00E73D44">
        <w:rPr>
          <w:color w:val="585858"/>
        </w:rPr>
        <w:t xml:space="preserve">     </w:t>
      </w:r>
      <w:r>
        <w:rPr>
          <w:color w:val="585858"/>
        </w:rPr>
        <w:t xml:space="preserve">Contact number: </w:t>
      </w:r>
      <w:r w:rsidR="00E73D44">
        <w:rPr>
          <w:color w:val="585858"/>
        </w:rPr>
        <w:t>9439789760</w:t>
      </w:r>
    </w:p>
    <w:p w14:paraId="7E761070" w14:textId="72E84B46" w:rsidR="008C3ACE" w:rsidRDefault="00B5063E">
      <w:pPr>
        <w:pStyle w:val="BodyText"/>
        <w:ind w:left="316"/>
      </w:pPr>
      <w:r>
        <w:rPr>
          <w:color w:val="585858"/>
        </w:rPr>
        <w:t>Session name/ number:</w:t>
      </w:r>
      <w:r w:rsidR="00E73D44">
        <w:rPr>
          <w:color w:val="585858"/>
        </w:rPr>
        <w:t xml:space="preserve"> </w:t>
      </w:r>
      <w:r w:rsidR="007B661D">
        <w:rPr>
          <w:color w:val="585858"/>
        </w:rPr>
        <w:t>Oral session- Tissue Engineering</w:t>
      </w:r>
    </w:p>
    <w:p w14:paraId="0680736E" w14:textId="11D878DA" w:rsidR="00E73D44" w:rsidRDefault="00E73D44" w:rsidP="00E92D8A">
      <w:pPr>
        <w:pStyle w:val="BodyText"/>
        <w:ind w:left="316" w:right="1786"/>
        <w:rPr>
          <w:color w:val="585858"/>
        </w:rPr>
      </w:pPr>
      <w:r>
        <w:rPr>
          <w:color w:val="585858"/>
        </w:rPr>
        <w:t xml:space="preserve">Category: </w:t>
      </w:r>
      <w:r w:rsidR="00B5063E">
        <w:rPr>
          <w:color w:val="585858"/>
        </w:rPr>
        <w:t>Oral pr</w:t>
      </w:r>
      <w:r>
        <w:rPr>
          <w:color w:val="585858"/>
        </w:rPr>
        <w:t>esentation</w:t>
      </w:r>
    </w:p>
    <w:p w14:paraId="436D0902" w14:textId="2B6DED73" w:rsidR="008C3ACE" w:rsidRDefault="00B5063E" w:rsidP="00E92D8A">
      <w:pPr>
        <w:pStyle w:val="BodyText"/>
        <w:ind w:left="316" w:right="1786"/>
        <w:rPr>
          <w:sz w:val="18"/>
        </w:rPr>
        <w:sectPr w:rsidR="008C3ACE" w:rsidSect="002E682A">
          <w:type w:val="continuous"/>
          <w:pgSz w:w="11910" w:h="16840"/>
          <w:pgMar w:top="642" w:right="180" w:bottom="280" w:left="140" w:header="152" w:footer="160" w:gutter="0"/>
          <w:cols w:num="2" w:space="720" w:equalWidth="0">
            <w:col w:w="5639" w:space="40"/>
            <w:col w:w="5911"/>
          </w:cols>
        </w:sectPr>
      </w:pPr>
      <w:r>
        <w:rPr>
          <w:color w:val="585858"/>
        </w:rPr>
        <w:t xml:space="preserve"> Passport Number</w:t>
      </w:r>
      <w:r w:rsidR="00B35A56">
        <w:rPr>
          <w:color w:val="585858"/>
        </w:rPr>
        <w:t>:  R3574322</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92E8F" w14:textId="77777777" w:rsidR="00707499" w:rsidRDefault="00707499" w:rsidP="00905843">
      <w:r>
        <w:separator/>
      </w:r>
    </w:p>
  </w:endnote>
  <w:endnote w:type="continuationSeparator" w:id="0">
    <w:p w14:paraId="48C95839" w14:textId="77777777" w:rsidR="00707499" w:rsidRDefault="00707499"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82EE" w14:textId="46A04514" w:rsidR="00E449FE" w:rsidRDefault="00E449FE">
    <w:pPr>
      <w:pStyle w:val="Footer"/>
    </w:pPr>
    <w:r>
      <w:rPr>
        <w:noProof/>
        <w:lang w:val="en-IN" w:eastAsia="en-IN"/>
      </w:rPr>
      <w:drawing>
        <wp:inline distT="0" distB="0" distL="0" distR="0" wp14:anchorId="0D86DEB8" wp14:editId="46EE6BB1">
          <wp:extent cx="7359650"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126C9" w14:textId="77777777" w:rsidR="00707499" w:rsidRDefault="00707499" w:rsidP="00905843">
      <w:r>
        <w:separator/>
      </w:r>
    </w:p>
  </w:footnote>
  <w:footnote w:type="continuationSeparator" w:id="0">
    <w:p w14:paraId="20C0988F" w14:textId="77777777" w:rsidR="00707499" w:rsidRDefault="00707499" w:rsidP="009058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960F2" w14:textId="4F98E8D0" w:rsidR="00E449FE" w:rsidRDefault="00E449FE">
    <w:pPr>
      <w:pStyle w:val="Header"/>
    </w:pPr>
    <w:r>
      <w:rPr>
        <w:noProof/>
        <w:lang w:val="en-IN" w:eastAsia="en-IN"/>
      </w:rPr>
      <w:drawing>
        <wp:inline distT="0" distB="0" distL="0" distR="0" wp14:anchorId="38285E1D" wp14:editId="47999509">
          <wp:extent cx="7358332" cy="110418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77100718"/>
    <w:lvl w:ilvl="0" w:tplc="61F4278C">
      <w:start w:val="2"/>
      <w:numFmt w:val="decimal"/>
      <w:lvlText w:val="%1."/>
      <w:lvlJc w:val="left"/>
      <w:pPr>
        <w:ind w:left="1037" w:hanging="360"/>
      </w:pPr>
      <w:rPr>
        <w:rFonts w:ascii="Times New Roman" w:eastAsia="Times New Roman" w:hAnsi="Times New Roman" w:cs="Times New Roman" w:hint="default"/>
        <w:color w:val="auto"/>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1NbAwMzWzNLKwMDZQ0lEKTi0uzszPAykwqgUA0Ftb5CwAAAA="/>
  </w:docVars>
  <w:rsids>
    <w:rsidRoot w:val="008C3ACE"/>
    <w:rsid w:val="000C25AD"/>
    <w:rsid w:val="000D4324"/>
    <w:rsid w:val="0010577A"/>
    <w:rsid w:val="00161C47"/>
    <w:rsid w:val="002E682A"/>
    <w:rsid w:val="00390544"/>
    <w:rsid w:val="003F743B"/>
    <w:rsid w:val="00447E46"/>
    <w:rsid w:val="0046388E"/>
    <w:rsid w:val="005640BF"/>
    <w:rsid w:val="00571F75"/>
    <w:rsid w:val="0058095B"/>
    <w:rsid w:val="005D5585"/>
    <w:rsid w:val="005E69C2"/>
    <w:rsid w:val="006433E1"/>
    <w:rsid w:val="00677986"/>
    <w:rsid w:val="00693FC9"/>
    <w:rsid w:val="006C7517"/>
    <w:rsid w:val="00707499"/>
    <w:rsid w:val="007076A7"/>
    <w:rsid w:val="007B661D"/>
    <w:rsid w:val="0087363E"/>
    <w:rsid w:val="008B1C3B"/>
    <w:rsid w:val="008C3ACE"/>
    <w:rsid w:val="00905843"/>
    <w:rsid w:val="00935715"/>
    <w:rsid w:val="009B41CE"/>
    <w:rsid w:val="009F3FAE"/>
    <w:rsid w:val="00A11783"/>
    <w:rsid w:val="00A22DBE"/>
    <w:rsid w:val="00A36D27"/>
    <w:rsid w:val="00A824A5"/>
    <w:rsid w:val="00A847EC"/>
    <w:rsid w:val="00AD71F0"/>
    <w:rsid w:val="00B35A56"/>
    <w:rsid w:val="00B5063E"/>
    <w:rsid w:val="00B508F1"/>
    <w:rsid w:val="00BD3101"/>
    <w:rsid w:val="00BF55A2"/>
    <w:rsid w:val="00C011CD"/>
    <w:rsid w:val="00C164E0"/>
    <w:rsid w:val="00CB5B6B"/>
    <w:rsid w:val="00CE1C74"/>
    <w:rsid w:val="00D13B33"/>
    <w:rsid w:val="00D45022"/>
    <w:rsid w:val="00E449FE"/>
    <w:rsid w:val="00E73D44"/>
    <w:rsid w:val="00E92D8A"/>
    <w:rsid w:val="00EC4830"/>
    <w:rsid w:val="00F504B5"/>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1FD26E0D-E443-4776-87E6-4D2EEF24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character" w:customStyle="1" w:styleId="word">
    <w:name w:val="word"/>
    <w:basedOn w:val="DefaultParagraphFont"/>
    <w:rsid w:val="009B4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108</cp:revision>
  <dcterms:created xsi:type="dcterms:W3CDTF">2018-02-05T12:50:00Z</dcterms:created>
  <dcterms:modified xsi:type="dcterms:W3CDTF">2019-07-25T18:59:00Z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