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48865420" w14:textId="111ACF80" w:rsidR="00A36D27" w:rsidRDefault="00B5063E" w:rsidP="005E69C2">
      <w:pPr>
        <w:spacing w:before="92"/>
        <w:ind w:left="594" w:right="151"/>
        <w:rPr>
          <w:b/>
          <w:color w:val="585858"/>
        </w:rPr>
      </w:pPr>
      <w:r>
        <w:rPr>
          <w:b/>
          <w:color w:val="585858"/>
        </w:rPr>
        <w:t xml:space="preserve">Title: </w:t>
      </w:r>
      <w:r w:rsidR="006775F5">
        <w:rPr>
          <w:b/>
          <w:color w:val="585858"/>
        </w:rPr>
        <w:t>Psyllium husk and enabling technologies of tissue engineering</w:t>
      </w:r>
    </w:p>
    <w:p w14:paraId="059209EA" w14:textId="77777777" w:rsidR="005E69C2" w:rsidRPr="005E69C2" w:rsidRDefault="005E69C2" w:rsidP="005E69C2">
      <w:pPr>
        <w:spacing w:before="92"/>
        <w:ind w:left="594" w:right="151"/>
        <w:rPr>
          <w:b/>
          <w:color w:val="585858"/>
        </w:rPr>
      </w:pPr>
    </w:p>
    <w:p w14:paraId="3CE20AB2" w14:textId="5DA59745" w:rsidR="008C3ACE" w:rsidRDefault="006775F5">
      <w:pPr>
        <w:pStyle w:val="Heading3"/>
        <w:spacing w:line="214" w:lineRule="exact"/>
        <w:ind w:left="594" w:firstLine="0"/>
      </w:pPr>
      <w:r>
        <w:rPr>
          <w:color w:val="585858"/>
        </w:rPr>
        <w:t>Suruchi Poddar</w:t>
      </w:r>
      <w:r w:rsidR="00B5063E">
        <w:rPr>
          <w:color w:val="585858"/>
          <w:position w:val="9"/>
          <w:sz w:val="12"/>
        </w:rPr>
        <w:t>1</w:t>
      </w:r>
      <w:r w:rsidR="00DE2EBA">
        <w:rPr>
          <w:color w:val="585858"/>
        </w:rPr>
        <w:t xml:space="preserve">, </w:t>
      </w:r>
      <w:bookmarkStart w:id="0" w:name="_GoBack"/>
      <w:bookmarkEnd w:id="0"/>
      <w:r>
        <w:rPr>
          <w:color w:val="585858"/>
        </w:rPr>
        <w:t>Piyush Sunil Agarwal</w:t>
      </w:r>
      <w:hyperlink r:id="rId7" w:anchor="a1">
        <w:r w:rsidR="00B5063E">
          <w:rPr>
            <w:color w:val="585858"/>
            <w:position w:val="9"/>
            <w:sz w:val="12"/>
          </w:rPr>
          <w:t>1</w:t>
        </w:r>
        <w:r w:rsidR="00B5063E">
          <w:rPr>
            <w:color w:val="585858"/>
          </w:rPr>
          <w:t>,</w:t>
        </w:r>
      </w:hyperlink>
      <w:r w:rsidR="00B5063E">
        <w:rPr>
          <w:color w:val="585858"/>
        </w:rPr>
        <w:t xml:space="preserve"> </w:t>
      </w:r>
      <w:r>
        <w:rPr>
          <w:color w:val="585858"/>
        </w:rPr>
        <w:t>Sanjeev Kumar Mahto</w:t>
      </w:r>
      <w:r>
        <w:rPr>
          <w:color w:val="585858"/>
          <w:position w:val="9"/>
          <w:sz w:val="12"/>
        </w:rPr>
        <w:t>1</w:t>
      </w:r>
      <w:r w:rsidR="00B5063E">
        <w:rPr>
          <w:color w:val="585858"/>
        </w:rPr>
        <w:t>,</w:t>
      </w:r>
    </w:p>
    <w:p w14:paraId="46C125E1" w14:textId="3837EDA6" w:rsidR="008C3ACE" w:rsidRDefault="00B5063E">
      <w:pPr>
        <w:pStyle w:val="BodyText"/>
        <w:spacing w:before="126" w:line="231" w:lineRule="exact"/>
        <w:ind w:left="594"/>
      </w:pPr>
      <w:r>
        <w:rPr>
          <w:color w:val="585858"/>
          <w:position w:val="9"/>
          <w:sz w:val="12"/>
        </w:rPr>
        <w:t>1</w:t>
      </w:r>
      <w:r w:rsidR="006775F5">
        <w:rPr>
          <w:color w:val="585858"/>
        </w:rPr>
        <w:t>Tissue Engineering and Biomicrofluidics Laboratory</w:t>
      </w:r>
      <w:r>
        <w:rPr>
          <w:color w:val="585858"/>
        </w:rPr>
        <w:t xml:space="preserve">, </w:t>
      </w:r>
      <w:r w:rsidR="006775F5">
        <w:rPr>
          <w:color w:val="585858"/>
        </w:rPr>
        <w:t>School of Biomedical Engineering</w:t>
      </w:r>
      <w:r>
        <w:rPr>
          <w:color w:val="585858"/>
        </w:rPr>
        <w:t>,</w:t>
      </w:r>
      <w:r w:rsidR="006775F5">
        <w:rPr>
          <w:color w:val="585858"/>
        </w:rPr>
        <w:t xml:space="preserve"> Indian Institute of Technology (Banaras Hindu University), Varanasi-221005. India</w:t>
      </w:r>
    </w:p>
    <w:p w14:paraId="0EFCFB75" w14:textId="1A476E47" w:rsidR="006775F5" w:rsidRDefault="006775F5"/>
    <w:p w14:paraId="415E6B2A" w14:textId="77777777" w:rsidR="006775F5" w:rsidRDefault="006775F5">
      <w:pPr>
        <w:sectPr w:rsidR="006775F5" w:rsidSect="002E682A">
          <w:headerReference w:type="default" r:id="rId8"/>
          <w:footerReference w:type="default" r:id="rId9"/>
          <w:type w:val="continuous"/>
          <w:pgSz w:w="11910" w:h="16840"/>
          <w:pgMar w:top="642" w:right="180" w:bottom="280" w:left="140" w:header="152" w:footer="160" w:gutter="0"/>
          <w:cols w:space="720"/>
        </w:sectPr>
      </w:pPr>
    </w:p>
    <w:p w14:paraId="0F6027D9" w14:textId="166BB197" w:rsidR="008C3ACE" w:rsidRDefault="00B5063E" w:rsidP="005E69C2">
      <w:pPr>
        <w:pStyle w:val="Heading3"/>
        <w:spacing w:before="114"/>
        <w:ind w:left="426" w:right="9" w:firstLine="0"/>
        <w:jc w:val="both"/>
        <w:rPr>
          <w:color w:val="585858"/>
        </w:rPr>
      </w:pPr>
      <w:r>
        <w:rPr>
          <w:color w:val="585858"/>
        </w:rPr>
        <w:t xml:space="preserve">Keywords: </w:t>
      </w:r>
      <w:r w:rsidR="006775F5">
        <w:rPr>
          <w:color w:val="585858"/>
        </w:rPr>
        <w:t>Psyllium husk powder, scaffold, freeze-drying, three-dimensional bioprinting, electrospinning.</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57A43071" w14:textId="70BAA6A9" w:rsidR="008C3ACE" w:rsidRPr="00655DEB" w:rsidRDefault="00655DEB" w:rsidP="00655DEB">
      <w:pPr>
        <w:pStyle w:val="ListParagraph"/>
        <w:spacing w:before="117"/>
        <w:ind w:left="426"/>
        <w:jc w:val="both"/>
        <w:rPr>
          <w:color w:val="585858"/>
          <w:sz w:val="19"/>
          <w:szCs w:val="19"/>
        </w:rPr>
      </w:pPr>
      <w:r>
        <w:rPr>
          <w:color w:val="585858"/>
          <w:sz w:val="19"/>
          <w:szCs w:val="19"/>
        </w:rPr>
        <w:t xml:space="preserve">         </w:t>
      </w:r>
      <w:r w:rsidR="00B5063E" w:rsidRPr="00655DEB">
        <w:rPr>
          <w:color w:val="585858"/>
          <w:sz w:val="19"/>
          <w:szCs w:val="19"/>
        </w:rPr>
        <w:t xml:space="preserve">The present study </w:t>
      </w:r>
      <w:r w:rsidR="00664D27" w:rsidRPr="00655DEB">
        <w:rPr>
          <w:color w:val="585858"/>
          <w:sz w:val="19"/>
          <w:szCs w:val="19"/>
        </w:rPr>
        <w:t xml:space="preserve">relates to the development of a new process/methodological approach for the fabrication of a psyllium husk powder based scaffold systems. The cutting-edge enabling technologies of tissue engineering has been employed in the manufacturing of bioscaffolds withy microporous structure and nanofiber formation, tailored mechanical strength and integrity by chemical and enzymatic cross-linking. To the best of our knowledge, this investigation reports for the very first time (i) the cross-linking procedure of psyllium husk powder and gelatin by </w:t>
      </w:r>
      <w:r w:rsidR="00664D27" w:rsidRPr="00655DEB">
        <w:rPr>
          <w:color w:val="585858"/>
          <w:sz w:val="19"/>
          <w:szCs w:val="19"/>
        </w:rPr>
        <w:t>the use of 1-ethyl-3-(3-dimethylaminopropyl)-1-carbodiimide hydrochloride and N-hydroxysuccinimide (EDC-NHS) coupling reaction</w:t>
      </w:r>
      <w:r w:rsidR="000B70DC" w:rsidRPr="00655DEB">
        <w:rPr>
          <w:color w:val="585858"/>
          <w:sz w:val="19"/>
          <w:szCs w:val="19"/>
        </w:rPr>
        <w:t xml:space="preserve"> </w:t>
      </w:r>
      <w:r w:rsidR="000B70DC" w:rsidRPr="00655DEB">
        <w:rPr>
          <w:color w:val="585858"/>
          <w:sz w:val="19"/>
          <w:szCs w:val="19"/>
        </w:rPr>
        <w:fldChar w:fldCharType="begin"/>
      </w:r>
      <w:r w:rsidR="000B70DC" w:rsidRPr="00655DEB">
        <w:rPr>
          <w:color w:val="585858"/>
          <w:sz w:val="19"/>
          <w:szCs w:val="19"/>
        </w:rPr>
        <w:instrText xml:space="preserve"> ADDIN ZOTERO_ITEM CSL_CITATION {"citationID":"AjgFCbUf","properties":{"formattedCitation":"[1], [2]","plainCitation":"[1], [2]","noteIndex":0},"citationItems":[{"id":1849,"uris":["http://zotero.org/users/2744779/items/WZ2JFFPN"],"uri":["http://zotero.org/users/2744779/items/WZ2JFFPN"],"itemData":{"id":1849,"type":"article-journal","title":"Fabrication and Cytocompatibility Evaluation of Psyllium Husk (Isabgol)/Gelatin Composite Scaffolds","container-title":"Applied Biochemistry and Biotechnology","source":"Springer Link","abstract":"Psyllium husk or isabgol contains xylan backbone linked with arabinose, rhamnose, and galacturonic acid units (arabinoxylans). In this study, we demonstrate the fabrication and characterization of a macroporous three-dimensional (3D) composite scaffold by mixing psyllium husk powder (PH) and gelatin (G) in different ratios, viz.100 PH, 75/25 PH/G, and 50/50 PH/G (w/w), using an EDC-NHS coupling reaction followed by freeze-drying method. The reaction was performed in aqueous as well as in alcoholic media to determine the most appropriate solvent system for this purpose. The mechanical strength of the scaffold system was improved from 151 to 438 kPa. The fabricated scaffolds exhibited enhanced structural stability, remarkable swelling capacity, and escalated cell growth and proliferation. ATR-FTIR analysis showed the presence of amide and ester bonds indicating covalent crosslinking. SEM micrographs revealed the porous nature of the scaffolds with pores ranging from 30 to 150 μm, and further pore size distribution curve indicated that 75/25 PH/G (w/w%) EDC-NHS-alcohol scaffold exhibited the best fit to the Gaussian distribution. Swelling capacity of the 100 PH EDC-NHS-alcohol scaffolds was found to be nearly 40% from its original weight in 48 h. MTT assay using fibroblast cells revealed ~ 80% cellular proliferation by 6th day within the fabricated scaffolds in comparison to control. Open image in new window Graphical Abstract </w:instrText>
      </w:r>
      <w:r w:rsidR="000B70DC" w:rsidRPr="00655DEB">
        <w:rPr>
          <w:rFonts w:eastAsia="Batang"/>
          <w:color w:val="585858"/>
          <w:sz w:val="19"/>
          <w:szCs w:val="19"/>
        </w:rPr>
        <w:instrText>ᅟ</w:instrText>
      </w:r>
      <w:r w:rsidR="000B70DC" w:rsidRPr="00655DEB">
        <w:rPr>
          <w:color w:val="585858"/>
          <w:sz w:val="19"/>
          <w:szCs w:val="19"/>
        </w:rPr>
        <w:instrText xml:space="preserve">","URL":"https://doi.org/10.1007/s12010-019-02958-7","DOI":"10.1007/s12010-019-02958-7","ISSN":"1559-0291","journalAbbreviation":"Appl Biochem Biotechnol","language":"en","author":[{"family":"Poddar","given":"Suruchi"},{"family":"Agarwal","given":"Piyush Sunil"},{"family":"Sahi","given":"Ajay Kumar"},{"family":"Vajanthri","given":"Kiran Yellappa"},{"literal":"Pallawi"},{"family":"Singh","given":"K. N."},{"family":"Mahto","given":"Sanjeev Kumar"}],"issued":{"date-parts":[["2019",1,25]]},"accessed":{"date-parts":[["2019",1,30]]}}},{"id":2222,"uris":["http://zotero.org/users/2744779/items/36VTKGU2"],"uri":["http://zotero.org/users/2744779/items/36VTKGU2"],"itemData":{"id":2222,"type":"article-journal","title":"Preparation of psyllium husk powder based microporous composite scaffolds for tissue engineering","container-title":"Engineering of Biomaterials","page":"2-6","volume":"21","issue":"147","abstract":"This study demonstrates the comparison in the\nmethod of fabrication and thus evaluates the potential of psyllium husk powder and gelatin-based\ncomposite microporous scaffolds for tissue engineering applications. The scaffold is being prepared\nin three different ratios of 50:50, 75:25 and 100 (w/w\nof psyllium husk powder and gelatin, respectively) by\nemploying a suitable cross-linking agent, EDC-NHS,\nfollowed drying. We have demonstrated the use and\noutcomes of two different methods of scaffold drying,\ni.e., vacuum desiccation along with liquid nitrogen dip\nand lyophilization. It was concluded from the SEM\nmicrographs that the scaffolds dried under vacuum\naccompanied with liquid nitrogen exposure exhibited\nless porous architecture when compared to those\nprepared using a lyophilizer, that resulted in pores in\nWKH UDQJH RI        ȝP 6FDIIROGVIDEULFDWHG XVLQJ\nthe former technique lost porosity and sponge-like\ncharacteristics of a scaffold. In spite of the above fact,\nwater retaining capacity and stability in the cell culture\nof such scaffolds is significant, nearly 40-50% of its\ninitial dry weight. Cell culture experiments support\nthe potential of the scaffolds prepared from different\nmethods of fabrication for its cytocompatibility and suitability for cell growth and proliferation for a substantial\nduration. Erosion in the porous design of the scaffolds\nwas observed after 14 days via SEM micrographs.\nIt was inferred that freeze-drying is a better technique\nthan vacuum desiccation for scaffold preparation.\nThe present investigation has been conducted keeping\nin mind the importance of drying a scaffold. Scaffold\ndrying is a necessary step to increase its shelf-life,\nmakes it easy to transport and much importantly,\ncontrolling the pore size of the scaffold.","author":[{"family":"Poddar","given":"Suruchi"},{"family":"Agarwal","given":"Piyush Sunil"},{"family":"Mahto","given":"Sanjeev Kumar"}],"issued":{"date-parts":[["2018"]]}}}],"schema":"https://github.com/citation-style-language/schema/raw/master/csl-citation.json"} </w:instrText>
      </w:r>
      <w:r w:rsidR="000B70DC" w:rsidRPr="00655DEB">
        <w:rPr>
          <w:color w:val="585858"/>
          <w:sz w:val="19"/>
          <w:szCs w:val="19"/>
        </w:rPr>
        <w:fldChar w:fldCharType="separate"/>
      </w:r>
      <w:r w:rsidR="000B70DC" w:rsidRPr="00655DEB">
        <w:rPr>
          <w:sz w:val="19"/>
          <w:szCs w:val="19"/>
        </w:rPr>
        <w:t>[1], [2]</w:t>
      </w:r>
      <w:r w:rsidR="000B70DC" w:rsidRPr="00655DEB">
        <w:rPr>
          <w:color w:val="585858"/>
          <w:sz w:val="19"/>
          <w:szCs w:val="19"/>
        </w:rPr>
        <w:fldChar w:fldCharType="end"/>
      </w:r>
      <w:r w:rsidR="00664D27" w:rsidRPr="00655DEB">
        <w:rPr>
          <w:color w:val="585858"/>
          <w:sz w:val="19"/>
          <w:szCs w:val="19"/>
        </w:rPr>
        <w:t>, (ii) psyllium husk based novel bioink which is enzymatically cross-linked for three-dimensional (3D) bioprinting process</w:t>
      </w:r>
      <w:r w:rsidRPr="00655DEB">
        <w:rPr>
          <w:color w:val="585858"/>
          <w:sz w:val="19"/>
          <w:szCs w:val="19"/>
        </w:rPr>
        <w:t xml:space="preserve"> </w:t>
      </w:r>
      <w:r w:rsidRPr="00655DEB">
        <w:rPr>
          <w:color w:val="585858"/>
          <w:sz w:val="19"/>
          <w:szCs w:val="19"/>
        </w:rPr>
        <w:fldChar w:fldCharType="begin"/>
      </w:r>
      <w:r w:rsidRPr="00655DEB">
        <w:rPr>
          <w:color w:val="585858"/>
          <w:sz w:val="19"/>
          <w:szCs w:val="19"/>
        </w:rPr>
        <w:instrText xml:space="preserve"> ADDIN ZOTERO_ITEM CSL_CITATION {"citationID":"ltxqa5Vf","properties":{"formattedCitation":"[3]","plainCitation":"[3]","noteIndex":0},"citationItems":[{"id":1964,"uris":["http://zotero.org/users/2744779/items/Q8F6SQ8A"],"uri":["http://zotero.org/users/2744779/items/Q8F6SQ8A"],"itemData":{"id":1964,"type":"article-journal","title":"Easy and affordable method for rapid prototyping of tissue models in vitro using three-dimensional bioprinting","container-title":"Biocybernetics and Biomedical Engineering","page":"158-169","volume":"38","issue":"1","source":"ScienceDirect","abstract":"In vitro tissue model systems have attracted considerable attention in drug discovery owing to their ability to facilitate identification of promising compounds in the near-physiological environment during drug development. Additive manufacturing helps in mimicking complex geometries including the microarchitecture of the body tissues. Exploiting this emerging technology, the present study demonstrates a simple and inexpensive approach for the fabrication of three-dimensional (3D) in vitro tissue models using a custom-designed automated bioprinting system. The bioink mixture comprised of a novel optimized composition of widely known biomaterials including gelatin, alginate and hydrolyzed type-1 collagen to embed and print the C2C12 myoblast cells. The structural stability and integrity of the cells-laden constructs were found to be significantly consistent for more than 14 days in culture. Rheological and mechanical properties of the bioink blend were characterized to assess its efficacy for the fabrication of cells-laden tissue constructs. Scanning electron micrographs were acquired to analyze porosity of the scaffold for cellular growth and proliferation. The viability of cells embedded within the hydrogel was &gt;80%, 3h post-printing. We anticipate that the fabricated tissues will serve as an alternative model for in vitro toxicological and drug response studies.","DOI":"10.1016/j.bbe.2017.12.001","ISSN":"0208-5216","journalAbbreviation":"Biocybernetics and Biomedical Engineering","author":[{"family":"Bandyopadhyay","given":"Ashutosh"},{"family":"Dewangan","given":"Vimal Kumar"},{"family":"Vajanthri","given":"Kiran Yellappa"},{"family":"Poddar","given":"Suruchi"},{"family":"Mahto","given":"Sanjeev Kumar"}],"issued":{"date-parts":[["2018",1,1]]}}}],"schema":"https://github.com/citation-style-language/schema/raw/master/csl-citation.json"} </w:instrText>
      </w:r>
      <w:r w:rsidRPr="00655DEB">
        <w:rPr>
          <w:color w:val="585858"/>
          <w:sz w:val="19"/>
          <w:szCs w:val="19"/>
        </w:rPr>
        <w:fldChar w:fldCharType="separate"/>
      </w:r>
      <w:r w:rsidRPr="00655DEB">
        <w:rPr>
          <w:sz w:val="19"/>
          <w:szCs w:val="19"/>
        </w:rPr>
        <w:t>[3]</w:t>
      </w:r>
      <w:r w:rsidRPr="00655DEB">
        <w:rPr>
          <w:color w:val="585858"/>
          <w:sz w:val="19"/>
          <w:szCs w:val="19"/>
        </w:rPr>
        <w:fldChar w:fldCharType="end"/>
      </w:r>
      <w:r w:rsidR="00664D27" w:rsidRPr="00655DEB">
        <w:rPr>
          <w:color w:val="585858"/>
          <w:sz w:val="19"/>
          <w:szCs w:val="19"/>
        </w:rPr>
        <w:t xml:space="preserve"> and (iii) </w:t>
      </w:r>
      <w:r w:rsidR="000B70DC" w:rsidRPr="00655DEB">
        <w:rPr>
          <w:color w:val="585858"/>
          <w:sz w:val="19"/>
          <w:szCs w:val="19"/>
        </w:rPr>
        <w:t>the formation of a psyllium husk powder based nanofibrous electrospun sheet for tissue engineering applications</w:t>
      </w:r>
      <w:r w:rsidR="002E4CEB">
        <w:rPr>
          <w:color w:val="585858"/>
          <w:sz w:val="19"/>
          <w:szCs w:val="19"/>
        </w:rPr>
        <w:t>, as shown in the given image below</w:t>
      </w:r>
      <w:r w:rsidR="000B70DC" w:rsidRPr="00655DEB">
        <w:rPr>
          <w:color w:val="585858"/>
          <w:sz w:val="19"/>
          <w:szCs w:val="19"/>
        </w:rPr>
        <w:t xml:space="preserve">. </w:t>
      </w:r>
      <w:r w:rsidRPr="00655DEB">
        <w:rPr>
          <w:color w:val="585858"/>
          <w:sz w:val="19"/>
          <w:szCs w:val="19"/>
        </w:rPr>
        <w:t>Although psyllium is available in various forms such as husk, seed, powder, fib</w:t>
      </w:r>
      <w:r w:rsidRPr="00655DEB">
        <w:rPr>
          <w:color w:val="585858"/>
          <w:sz w:val="19"/>
          <w:szCs w:val="19"/>
        </w:rPr>
        <w:t>e</w:t>
      </w:r>
      <w:r w:rsidRPr="00655DEB">
        <w:rPr>
          <w:color w:val="585858"/>
          <w:sz w:val="19"/>
          <w:szCs w:val="19"/>
        </w:rPr>
        <w:t xml:space="preserve">r etc., mucilage/gum extracted from psyllium seed and husk has widely been reported in tissue engineering and pharmaceutical applications. </w:t>
      </w:r>
      <w:r w:rsidRPr="00655DEB">
        <w:rPr>
          <w:color w:val="585858"/>
          <w:sz w:val="19"/>
          <w:szCs w:val="19"/>
        </w:rPr>
        <w:t>This study</w:t>
      </w:r>
      <w:r w:rsidRPr="00655DEB">
        <w:rPr>
          <w:color w:val="585858"/>
          <w:sz w:val="19"/>
          <w:szCs w:val="19"/>
        </w:rPr>
        <w:t xml:space="preserve"> proposes the direct use of readily available psyllium husk powder as the biomaterial, without any further modifications. The extraction of psyllium gum from psyllium husk requires some tedious and time consuming processes such as collecting and washing of seed or husk, soaking overnight, drying by heating for several hours, filtration or precipitation followed by further washing in an organic solvent, filtered, centrifuged, collected, solvent evaporated dried under reduced pressure and finally passed through a suitable sieve to store in an airtight container for further use</w:t>
      </w:r>
      <w:r w:rsidRPr="00655DEB">
        <w:rPr>
          <w:color w:val="585858"/>
          <w:sz w:val="19"/>
          <w:szCs w:val="19"/>
        </w:rPr>
        <w:t xml:space="preserve"> </w:t>
      </w:r>
      <w:r w:rsidRPr="00655DEB">
        <w:rPr>
          <w:color w:val="585858"/>
          <w:sz w:val="19"/>
          <w:szCs w:val="19"/>
        </w:rPr>
        <w:fldChar w:fldCharType="begin"/>
      </w:r>
      <w:r w:rsidRPr="00655DEB">
        <w:rPr>
          <w:color w:val="585858"/>
          <w:sz w:val="19"/>
          <w:szCs w:val="19"/>
        </w:rPr>
        <w:instrText xml:space="preserve"> ADDIN ZOTERO_ITEM CSL_CITATION {"citationID":"v84d6hKL","properties":{"formattedCitation":"[4]","plainCitation":"[4]","noteIndex":0},"citationItems":[{"id":528,"uris":["http://zotero.org/users/2744779/items/JWGQHNS2"],"uri":["http://zotero.org/users/2744779/items/JWGQHNS2"],"itemData":{"id":528,"type":"article-journal","title":"Physicochemical characterization and toxicological evaluation of plant-based anionic polymers and their nanoparticulated system for ocular delivery","container-title":"Nanotoxicology","page":"843-855","volume":"8","issue":"8","source":"Taylor and Francis+NEJM","abstract":"The water-soluble fractions of mucilages and gum from the seeds of fenugreek, isphagula and mango bark exudate were isolated, purified and characterized using X-ray diffraction (XRD) spectrometry, Fourier transform infrared spectroscopy (FT-IR), maldi/GC-MS, elemental analysis, 1D (1H and 13C) and 2D (HMQC, COSY) nuclear magnetic resonance spectroscopy (NMR). The fenugreek mucilage was identified to be a galactomannan chain consisting of 4 units of galactose attached to the backbone of 6 mannose units in 1:1.5 ratio. The isphagula mucilage was identified to be an arabinoxylan polysaccharide chain consisting of 4 units of arabinofuranose attached to the backbone of 9 xylopyrannose units in 1:3 ratio. The mango gum showed the presence of amylose, α-arabinofuranosyl and β-galactopyranosyl, respectively. The characterized mucilages and gum were individually formulated into nanoparticulate system using their complementarily charged polymer chitosan. The particles were observed to be spherical in shape in the range of 61.5–90 nm having zetapotential between 31 and 34 mV and PDI of 0.097–0.241. The prepared nanoparticles were observed to be nonirritant and nontoxic in vitro and in vivo upto 2000 μg/ml. Therefore, these mucilages and gum can be the alternatives of anionic polymers for the ocular drug delivery system.","DOI":"10.3109/17435390.2013.834996","ISSN":"1743-5390","author":[{"family":"Pathak","given":"Deepa"},{"family":"Kumar","given":"Prashant"},{"family":"Kuppusamy","given":"Gowthamarajan"},{"family":"Gupta","given":"Ankur"},{"family":"Kamble","given":"Bhagyashree"},{"family":"Wadhwani","given":"Ashish"}],"issued":{"date-parts":[["2014",12,1]]}}}],"schema":"https://github.com/citation-style-language/schema/raw/master/csl-citation.json"} </w:instrText>
      </w:r>
      <w:r w:rsidRPr="00655DEB">
        <w:rPr>
          <w:color w:val="585858"/>
          <w:sz w:val="19"/>
          <w:szCs w:val="19"/>
        </w:rPr>
        <w:fldChar w:fldCharType="separate"/>
      </w:r>
      <w:r w:rsidRPr="00655DEB">
        <w:rPr>
          <w:color w:val="585858"/>
          <w:sz w:val="19"/>
          <w:szCs w:val="19"/>
        </w:rPr>
        <w:t>[4]</w:t>
      </w:r>
      <w:r w:rsidRPr="00655DEB">
        <w:rPr>
          <w:color w:val="585858"/>
          <w:sz w:val="19"/>
          <w:szCs w:val="19"/>
        </w:rPr>
        <w:fldChar w:fldCharType="end"/>
      </w:r>
      <w:r w:rsidRPr="00655DEB">
        <w:rPr>
          <w:color w:val="585858"/>
          <w:sz w:val="19"/>
          <w:szCs w:val="19"/>
        </w:rPr>
        <w:t>. Therefore, to exclude the need of such trivial and time-consuming processes this invention suggests direct use of psyllium husk powder without any further purification and collection, for the preparation of psyllium husk powder-based</w:t>
      </w:r>
      <w:r w:rsidRPr="00655DEB">
        <w:rPr>
          <w:color w:val="585858"/>
          <w:sz w:val="19"/>
          <w:szCs w:val="19"/>
        </w:rPr>
        <w:t xml:space="preserve"> degradable bioscaffolds for tissue engineering and regenerative medicine.</w:t>
      </w:r>
    </w:p>
    <w:p w14:paraId="366F21C8" w14:textId="749C9155" w:rsidR="00655DEB" w:rsidRDefault="00655DEB" w:rsidP="00655DEB">
      <w:pPr>
        <w:pStyle w:val="ListParagraph"/>
        <w:spacing w:before="117"/>
        <w:ind w:left="426"/>
        <w:jc w:val="both"/>
        <w:rPr>
          <w:sz w:val="19"/>
          <w:szCs w:val="19"/>
        </w:rPr>
      </w:pPr>
    </w:p>
    <w:p w14:paraId="3907491F" w14:textId="41BAFE7F" w:rsidR="008C3ACE" w:rsidRPr="00655DEB" w:rsidRDefault="00B5063E" w:rsidP="00B62DAB">
      <w:pPr>
        <w:pStyle w:val="Heading3"/>
        <w:numPr>
          <w:ilvl w:val="0"/>
          <w:numId w:val="1"/>
        </w:numPr>
        <w:tabs>
          <w:tab w:val="left" w:pos="1914"/>
          <w:tab w:val="left" w:pos="1915"/>
        </w:tabs>
        <w:ind w:left="1914" w:hanging="494"/>
        <w:jc w:val="left"/>
      </w:pPr>
      <w:r w:rsidRPr="00B62DAB">
        <w:rPr>
          <w:color w:val="585858"/>
        </w:rPr>
        <w:t>Image:</w:t>
      </w:r>
    </w:p>
    <w:p w14:paraId="2F97D530" w14:textId="32BA8036" w:rsidR="00655DEB" w:rsidRDefault="00655DEB" w:rsidP="00655DEB">
      <w:pPr>
        <w:pStyle w:val="Heading3"/>
        <w:tabs>
          <w:tab w:val="left" w:pos="1914"/>
          <w:tab w:val="left" w:pos="1915"/>
        </w:tabs>
        <w:ind w:left="1914" w:firstLine="0"/>
        <w:jc w:val="right"/>
        <w:rPr>
          <w:color w:val="585858"/>
        </w:rPr>
      </w:pPr>
    </w:p>
    <w:p w14:paraId="2DB1AF43" w14:textId="37D56AA3" w:rsidR="00655DEB" w:rsidRDefault="00B62DAB" w:rsidP="00655DEB">
      <w:pPr>
        <w:pStyle w:val="Heading3"/>
        <w:tabs>
          <w:tab w:val="left" w:pos="1914"/>
          <w:tab w:val="left" w:pos="1915"/>
        </w:tabs>
        <w:ind w:left="1914" w:firstLine="0"/>
        <w:jc w:val="right"/>
        <w:rPr>
          <w:color w:val="585858"/>
        </w:rPr>
      </w:pPr>
      <w:r w:rsidRPr="002D3B0A">
        <w:rPr>
          <w:noProof/>
          <w:sz w:val="20"/>
        </w:rPr>
        <w:drawing>
          <wp:anchor distT="0" distB="0" distL="114300" distR="114300" simplePos="0" relativeHeight="251662848" behindDoc="1" locked="0" layoutInCell="1" allowOverlap="1" wp14:anchorId="1B2EA090" wp14:editId="2DA7552C">
            <wp:simplePos x="0" y="0"/>
            <wp:positionH relativeFrom="column">
              <wp:posOffset>425450</wp:posOffset>
            </wp:positionH>
            <wp:positionV relativeFrom="paragraph">
              <wp:posOffset>5715</wp:posOffset>
            </wp:positionV>
            <wp:extent cx="2743200" cy="1372553"/>
            <wp:effectExtent l="0" t="0" r="0" b="0"/>
            <wp:wrapTight wrapText="bothSides">
              <wp:wrapPolygon edited="0">
                <wp:start x="0" y="0"/>
                <wp:lineTo x="0" y="17692"/>
                <wp:lineTo x="3600" y="19191"/>
                <wp:lineTo x="10800" y="19191"/>
                <wp:lineTo x="17100" y="20990"/>
                <wp:lineTo x="20100" y="20990"/>
                <wp:lineTo x="20400" y="19491"/>
                <wp:lineTo x="21450" y="19191"/>
                <wp:lineTo x="21450" y="0"/>
                <wp:lineTo x="0" y="0"/>
              </wp:wrapPolygon>
            </wp:wrapTight>
            <wp:docPr id="9" name="Picture 9" descr="E:\POSTERS\Meetings Inernational Singapore\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OSTERS\Meetings Inernational Singapore\Picture1.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13725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42C4C7" w14:textId="36B1DC27" w:rsidR="00655DEB" w:rsidRPr="00655DEB" w:rsidRDefault="00655DEB" w:rsidP="00655DEB">
      <w:pPr>
        <w:pStyle w:val="Heading3"/>
        <w:tabs>
          <w:tab w:val="left" w:pos="1914"/>
          <w:tab w:val="left" w:pos="1915"/>
        </w:tabs>
        <w:ind w:left="1914" w:firstLine="0"/>
        <w:jc w:val="right"/>
      </w:pPr>
    </w:p>
    <w:p w14:paraId="07E69AC0" w14:textId="658B1E2A" w:rsidR="00655DEB" w:rsidRDefault="00655DEB" w:rsidP="00655DEB">
      <w:pPr>
        <w:pStyle w:val="Heading3"/>
        <w:tabs>
          <w:tab w:val="left" w:pos="1914"/>
          <w:tab w:val="left" w:pos="1915"/>
        </w:tabs>
        <w:ind w:left="0" w:firstLine="0"/>
      </w:pPr>
      <w:r>
        <w:rPr>
          <w:color w:val="585858"/>
        </w:rPr>
        <w:t xml:space="preserve">             </w:t>
      </w:r>
    </w:p>
    <w:p w14:paraId="253709E6" w14:textId="5A7770A3" w:rsidR="008C3ACE" w:rsidRDefault="00B5063E">
      <w:pPr>
        <w:pStyle w:val="ListParagraph"/>
        <w:numPr>
          <w:ilvl w:val="0"/>
          <w:numId w:val="1"/>
        </w:numPr>
        <w:tabs>
          <w:tab w:val="left" w:pos="1758"/>
        </w:tabs>
        <w:spacing w:before="92"/>
        <w:ind w:left="1757"/>
        <w:jc w:val="left"/>
        <w:rPr>
          <w:b/>
          <w:sz w:val="19"/>
        </w:rPr>
      </w:pPr>
      <w:r>
        <w:rPr>
          <w:b/>
          <w:color w:val="585858"/>
          <w:sz w:val="19"/>
        </w:rPr>
        <w:t>Reference:</w:t>
      </w:r>
    </w:p>
    <w:p w14:paraId="4B83854F" w14:textId="7D30A4B2" w:rsidR="008C3ACE" w:rsidRDefault="008C3ACE">
      <w:pPr>
        <w:pStyle w:val="BodyText"/>
        <w:spacing w:before="9"/>
        <w:rPr>
          <w:b/>
          <w:sz w:val="18"/>
        </w:rPr>
      </w:pPr>
    </w:p>
    <w:p w14:paraId="283CC2CC" w14:textId="5F6B232F" w:rsidR="00B62DAB" w:rsidRPr="00DE2EBA" w:rsidRDefault="00B62DAB" w:rsidP="002E4CEB">
      <w:pPr>
        <w:pStyle w:val="Bibliography"/>
        <w:jc w:val="both"/>
        <w:rPr>
          <w:color w:val="585858"/>
          <w:sz w:val="19"/>
          <w:szCs w:val="19"/>
        </w:rPr>
      </w:pPr>
      <w:r>
        <w:rPr>
          <w:color w:val="585858"/>
        </w:rPr>
        <w:tab/>
      </w:r>
      <w:r w:rsidRPr="00DE2EBA">
        <w:rPr>
          <w:color w:val="585858"/>
          <w:sz w:val="19"/>
          <w:szCs w:val="19"/>
        </w:rPr>
        <w:fldChar w:fldCharType="begin"/>
      </w:r>
      <w:r w:rsidRPr="00DE2EBA">
        <w:rPr>
          <w:color w:val="585858"/>
          <w:sz w:val="19"/>
          <w:szCs w:val="19"/>
        </w:rPr>
        <w:instrText xml:space="preserve"> ADDIN ZOTERO_BIBL {"uncited":[],"omitted":[],"custom":[]} CSL_BIBLIOGRAPHY </w:instrText>
      </w:r>
      <w:r w:rsidRPr="00DE2EBA">
        <w:rPr>
          <w:color w:val="585858"/>
          <w:sz w:val="19"/>
          <w:szCs w:val="19"/>
        </w:rPr>
        <w:fldChar w:fldCharType="separate"/>
      </w:r>
      <w:r w:rsidRPr="00DE2EBA">
        <w:rPr>
          <w:color w:val="585858"/>
          <w:sz w:val="19"/>
          <w:szCs w:val="19"/>
        </w:rPr>
        <w:t>[1]</w:t>
      </w:r>
      <w:r w:rsidRPr="00DE2EBA">
        <w:rPr>
          <w:color w:val="585858"/>
          <w:sz w:val="19"/>
          <w:szCs w:val="19"/>
        </w:rPr>
        <w:tab/>
        <w:t>S. Poddar et al., “Fabrication and Cytocompatibility Evaluation of Psyllium Husk (Isabgol)/Gelatin Composite Scaffolds,” Appl Biochem Biotechnol, Jan. 2019.</w:t>
      </w:r>
    </w:p>
    <w:p w14:paraId="3E09DDB5" w14:textId="2C31ACB3" w:rsidR="00B62DAB" w:rsidRPr="00DE2EBA" w:rsidRDefault="00B62DAB" w:rsidP="002E4CEB">
      <w:pPr>
        <w:pStyle w:val="Bibliography"/>
        <w:jc w:val="both"/>
        <w:rPr>
          <w:color w:val="585858"/>
          <w:sz w:val="19"/>
          <w:szCs w:val="19"/>
        </w:rPr>
      </w:pPr>
      <w:r w:rsidRPr="00DE2EBA">
        <w:rPr>
          <w:color w:val="585858"/>
          <w:sz w:val="19"/>
          <w:szCs w:val="19"/>
        </w:rPr>
        <w:tab/>
        <w:t>[2]</w:t>
      </w:r>
      <w:r w:rsidRPr="00DE2EBA">
        <w:rPr>
          <w:color w:val="585858"/>
          <w:sz w:val="19"/>
          <w:szCs w:val="19"/>
        </w:rPr>
        <w:tab/>
        <w:t>S. Poddar, P. S. Agarwal, and S. K. Mahto, “Preparation of psyllium husk powder based microporous composite scaffolds for tissue engineering,” Engineering of Biomaterials, vol. 21, no. 147, pp. 2–6, 2018.</w:t>
      </w:r>
    </w:p>
    <w:p w14:paraId="1B8B3B2D" w14:textId="08BB14B7" w:rsidR="00B62DAB" w:rsidRPr="00DE2EBA" w:rsidRDefault="00B62DAB" w:rsidP="002E4CEB">
      <w:pPr>
        <w:pStyle w:val="Bibliography"/>
        <w:jc w:val="both"/>
        <w:rPr>
          <w:color w:val="585858"/>
          <w:sz w:val="19"/>
          <w:szCs w:val="19"/>
        </w:rPr>
      </w:pPr>
      <w:r w:rsidRPr="00DE2EBA">
        <w:rPr>
          <w:color w:val="585858"/>
          <w:sz w:val="19"/>
          <w:szCs w:val="19"/>
        </w:rPr>
        <w:tab/>
        <w:t>[3]</w:t>
      </w:r>
      <w:r w:rsidRPr="00DE2EBA">
        <w:rPr>
          <w:color w:val="585858"/>
          <w:sz w:val="19"/>
          <w:szCs w:val="19"/>
        </w:rPr>
        <w:tab/>
        <w:t>A. Bandyopadhyay, V. K. Dewangan, K. Y. Vajanthri, S. Poddar, and S. K. Mahto, “Easy and affordable method for rapid prototyping of tissue models in vitro using three-dimensional bioprinting,” Biocybernetics and Biomedical Engineering, vol. 38, no. 1, pp. 158–169, Jan. 2018.</w:t>
      </w:r>
    </w:p>
    <w:p w14:paraId="4769FFB2" w14:textId="65D67C73" w:rsidR="00B62DAB" w:rsidRPr="00DE2EBA" w:rsidRDefault="00B62DAB" w:rsidP="002E4CEB">
      <w:pPr>
        <w:pStyle w:val="Bibliography"/>
        <w:jc w:val="both"/>
        <w:rPr>
          <w:color w:val="585858"/>
          <w:sz w:val="19"/>
          <w:szCs w:val="19"/>
        </w:rPr>
      </w:pPr>
      <w:r w:rsidRPr="00DE2EBA">
        <w:rPr>
          <w:color w:val="585858"/>
          <w:sz w:val="19"/>
          <w:szCs w:val="19"/>
        </w:rPr>
        <w:tab/>
        <w:t>[4]</w:t>
      </w:r>
      <w:r w:rsidRPr="00DE2EBA">
        <w:rPr>
          <w:color w:val="585858"/>
          <w:sz w:val="19"/>
          <w:szCs w:val="19"/>
        </w:rPr>
        <w:tab/>
        <w:t>D. Pathak, P. Kumar, G. Kuppusamy, A. Gupta, B. Kamble, and A. Wadhwani, “Physicochemical characterization and toxicological evaluation of plant-based anionic polymers and their nanoparticulated system for ocular delivery,” Nanotoxicology, vol. 8, no. 8, pp. 843–855, Dec. 2014.</w:t>
      </w:r>
    </w:p>
    <w:p w14:paraId="4411E80A" w14:textId="42149A30" w:rsidR="008C3ACE" w:rsidRDefault="00B62DAB" w:rsidP="002E4CEB">
      <w:pPr>
        <w:pStyle w:val="BodyText"/>
        <w:tabs>
          <w:tab w:val="left" w:pos="1037"/>
        </w:tabs>
        <w:ind w:right="696"/>
        <w:jc w:val="both"/>
      </w:pPr>
      <w:r>
        <w:rPr>
          <w:color w:val="585858"/>
        </w:rPr>
        <w:fldChar w:fldCharType="end"/>
      </w: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390130A2" w:rsidR="008C3ACE" w:rsidRDefault="00EB18A1">
      <w:pPr>
        <w:pStyle w:val="BodyText"/>
        <w:spacing w:before="119"/>
        <w:ind w:left="316" w:right="381"/>
        <w:jc w:val="both"/>
      </w:pPr>
      <w:r>
        <w:rPr>
          <w:color w:val="585858"/>
        </w:rPr>
        <w:t>Suruchi is about to submit her Ph</w:t>
      </w:r>
      <w:r w:rsidR="007C1777">
        <w:rPr>
          <w:color w:val="585858"/>
        </w:rPr>
        <w:t>D thesis and she is looking for inter</w:t>
      </w:r>
      <w:r w:rsidR="00B62DAB">
        <w:rPr>
          <w:color w:val="585858"/>
        </w:rPr>
        <w:t>e</w:t>
      </w:r>
      <w:r w:rsidR="007C1777">
        <w:rPr>
          <w:color w:val="585858"/>
        </w:rPr>
        <w:t xml:space="preserve">sting opportunities for Postdoctoral studies in India and abroad. Her area of research is Tissue Engineering and Biomicrofluidics. She has published her results in international reputed journals. Her work in biomaterials earned her many accolades such as the Gold Medal Award at the Institute Day of IIT (BHU), Varanasi and she stood second at a conference in Rytro, Poland in 2018. </w:t>
      </w:r>
    </w:p>
    <w:p w14:paraId="729BF5C3" w14:textId="3232CC16"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61CC2B80" w:rsidR="008C3ACE" w:rsidRDefault="00EB18A1">
      <w:pPr>
        <w:pStyle w:val="BodyText"/>
        <w:spacing w:before="7"/>
        <w:rPr>
          <w:b/>
          <w:sz w:val="15"/>
        </w:rPr>
      </w:pPr>
      <w:r w:rsidRPr="00EB18A1">
        <w:rPr>
          <w:b/>
          <w:noProof/>
          <w:sz w:val="15"/>
        </w:rPr>
        <w:drawing>
          <wp:anchor distT="0" distB="0" distL="114300" distR="114300" simplePos="0" relativeHeight="251658240" behindDoc="1" locked="0" layoutInCell="1" allowOverlap="1" wp14:anchorId="6522C33B" wp14:editId="758A6E33">
            <wp:simplePos x="0" y="0"/>
            <wp:positionH relativeFrom="column">
              <wp:posOffset>219710</wp:posOffset>
            </wp:positionH>
            <wp:positionV relativeFrom="paragraph">
              <wp:posOffset>29210</wp:posOffset>
            </wp:positionV>
            <wp:extent cx="1252728" cy="1579526"/>
            <wp:effectExtent l="19050" t="19050" r="24130" b="20955"/>
            <wp:wrapTight wrapText="bothSides">
              <wp:wrapPolygon edited="0">
                <wp:start x="-329" y="-261"/>
                <wp:lineTo x="-329" y="21626"/>
                <wp:lineTo x="21688" y="21626"/>
                <wp:lineTo x="21688" y="-261"/>
                <wp:lineTo x="-329" y="-261"/>
              </wp:wrapPolygon>
            </wp:wrapTight>
            <wp:docPr id="6" name="Picture 6" descr="E:\presentation\SASTRA UNIVERSITY\lab members foto\surch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resentation\SASTRA UNIVERSITY\lab members foto\surchi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2728" cy="1579526"/>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32F0C930" w14:textId="2BDCEBD6" w:rsidR="00EB18A1" w:rsidRDefault="00EB18A1" w:rsidP="00EB18A1">
      <w:pPr>
        <w:pStyle w:val="BodyText"/>
        <w:ind w:left="316" w:right="3480"/>
        <w:rPr>
          <w:color w:val="585858"/>
        </w:rPr>
      </w:pPr>
    </w:p>
    <w:p w14:paraId="216C53E5" w14:textId="3475D1E9" w:rsidR="00EB18A1" w:rsidRDefault="00EB18A1" w:rsidP="00EB18A1">
      <w:pPr>
        <w:pStyle w:val="BodyText"/>
        <w:ind w:left="316" w:right="3480"/>
        <w:rPr>
          <w:color w:val="585858"/>
        </w:rPr>
      </w:pPr>
    </w:p>
    <w:p w14:paraId="1D548C32" w14:textId="77777777" w:rsidR="00EB18A1" w:rsidRDefault="00EB18A1" w:rsidP="00EB18A1">
      <w:pPr>
        <w:pStyle w:val="BodyText"/>
        <w:ind w:left="316" w:right="3480"/>
        <w:rPr>
          <w:color w:val="585858"/>
        </w:rPr>
      </w:pPr>
    </w:p>
    <w:p w14:paraId="5AE05752" w14:textId="77777777" w:rsidR="00EB18A1" w:rsidRDefault="00EB18A1" w:rsidP="00EB18A1">
      <w:pPr>
        <w:pStyle w:val="BodyText"/>
        <w:ind w:left="316" w:right="3480"/>
        <w:rPr>
          <w:color w:val="585858"/>
        </w:rPr>
      </w:pPr>
    </w:p>
    <w:p w14:paraId="159AECD7" w14:textId="1DA142E3" w:rsidR="00EB18A1" w:rsidRDefault="00EB18A1" w:rsidP="00EB18A1">
      <w:pPr>
        <w:pStyle w:val="BodyText"/>
        <w:ind w:left="316" w:right="3480"/>
        <w:rPr>
          <w:color w:val="585858"/>
        </w:rPr>
      </w:pPr>
    </w:p>
    <w:p w14:paraId="103B908C" w14:textId="77777777" w:rsidR="00EB18A1" w:rsidRDefault="00EB18A1" w:rsidP="00EB18A1">
      <w:pPr>
        <w:pStyle w:val="BodyText"/>
        <w:ind w:left="316" w:right="3480"/>
        <w:rPr>
          <w:color w:val="585858"/>
        </w:rPr>
      </w:pPr>
    </w:p>
    <w:p w14:paraId="1CF089EB" w14:textId="77777777" w:rsidR="00EB18A1" w:rsidRDefault="00EB18A1" w:rsidP="00EB18A1">
      <w:pPr>
        <w:pStyle w:val="BodyText"/>
        <w:ind w:left="316" w:right="3480"/>
        <w:rPr>
          <w:color w:val="585858"/>
        </w:rPr>
      </w:pPr>
    </w:p>
    <w:p w14:paraId="59346417" w14:textId="77777777" w:rsidR="002D3B0A" w:rsidRDefault="002D3B0A" w:rsidP="00EB18A1">
      <w:pPr>
        <w:pStyle w:val="BodyText"/>
        <w:ind w:left="316" w:right="3480"/>
        <w:rPr>
          <w:color w:val="585858"/>
        </w:rPr>
      </w:pPr>
    </w:p>
    <w:p w14:paraId="2F38B019" w14:textId="77777777" w:rsidR="002D3B0A" w:rsidRDefault="002D3B0A" w:rsidP="00EB18A1">
      <w:pPr>
        <w:pStyle w:val="BodyText"/>
        <w:ind w:left="316" w:right="3480"/>
        <w:rPr>
          <w:color w:val="585858"/>
        </w:rPr>
      </w:pPr>
    </w:p>
    <w:p w14:paraId="1FA4CC2C" w14:textId="77777777" w:rsidR="002D3B0A" w:rsidRDefault="002D3B0A" w:rsidP="00EB18A1">
      <w:pPr>
        <w:pStyle w:val="BodyText"/>
        <w:ind w:left="316" w:right="3480"/>
        <w:rPr>
          <w:color w:val="585858"/>
        </w:rPr>
      </w:pPr>
    </w:p>
    <w:p w14:paraId="09F4757C" w14:textId="77777777" w:rsidR="002D3B0A" w:rsidRDefault="002D3B0A" w:rsidP="00EB18A1">
      <w:pPr>
        <w:pStyle w:val="BodyText"/>
        <w:ind w:left="316" w:right="3480"/>
        <w:rPr>
          <w:color w:val="585858"/>
        </w:rPr>
      </w:pPr>
    </w:p>
    <w:p w14:paraId="527E4855" w14:textId="103986C9" w:rsidR="006775F5" w:rsidRDefault="00B5063E" w:rsidP="00EB18A1">
      <w:pPr>
        <w:pStyle w:val="BodyText"/>
        <w:ind w:left="316" w:right="3480"/>
        <w:rPr>
          <w:color w:val="585858"/>
        </w:rPr>
      </w:pPr>
      <w:r>
        <w:rPr>
          <w:color w:val="585858"/>
        </w:rPr>
        <w:t xml:space="preserve">Full Name: </w:t>
      </w:r>
      <w:r w:rsidR="006775F5">
        <w:rPr>
          <w:color w:val="585858"/>
        </w:rPr>
        <w:t>Suruchi Poddar</w:t>
      </w:r>
    </w:p>
    <w:p w14:paraId="5FB6DBBE" w14:textId="0F54E9D4" w:rsidR="006775F5" w:rsidRDefault="00B5063E" w:rsidP="00EB18A1">
      <w:pPr>
        <w:pStyle w:val="BodyText"/>
        <w:ind w:left="316" w:right="2761"/>
        <w:rPr>
          <w:color w:val="585858"/>
        </w:rPr>
      </w:pPr>
      <w:r>
        <w:rPr>
          <w:color w:val="585858"/>
        </w:rPr>
        <w:t xml:space="preserve">Contact number: </w:t>
      </w:r>
      <w:r w:rsidR="00EB18A1">
        <w:rPr>
          <w:color w:val="585858"/>
        </w:rPr>
        <w:t>+91 8100636028</w:t>
      </w:r>
    </w:p>
    <w:p w14:paraId="2B0FF9BF" w14:textId="6E6F9B76" w:rsidR="006775F5" w:rsidRDefault="00B5063E" w:rsidP="00EB18A1">
      <w:pPr>
        <w:pStyle w:val="BodyText"/>
        <w:ind w:left="316" w:right="3121"/>
        <w:rPr>
          <w:color w:val="585858"/>
        </w:rPr>
      </w:pPr>
      <w:r>
        <w:rPr>
          <w:color w:val="585858"/>
        </w:rPr>
        <w:t xml:space="preserve">Twitter account: </w:t>
      </w:r>
      <w:r w:rsidR="00EB18A1">
        <w:rPr>
          <w:color w:val="585858"/>
        </w:rPr>
        <w:t>--</w:t>
      </w:r>
    </w:p>
    <w:p w14:paraId="282715A5" w14:textId="400D935E" w:rsidR="008C3ACE" w:rsidRPr="006775F5" w:rsidRDefault="00B5063E" w:rsidP="00EB18A1">
      <w:pPr>
        <w:pStyle w:val="BodyText"/>
        <w:ind w:left="316" w:right="-119"/>
        <w:rPr>
          <w:color w:val="585858"/>
        </w:rPr>
      </w:pPr>
      <w:r>
        <w:rPr>
          <w:color w:val="585858"/>
        </w:rPr>
        <w:t>Linked In account:</w:t>
      </w:r>
      <w:r w:rsidR="00EB18A1">
        <w:rPr>
          <w:color w:val="585858"/>
        </w:rPr>
        <w:t xml:space="preserve"> </w:t>
      </w:r>
      <w:hyperlink r:id="rId12" w:history="1">
        <w:r w:rsidR="00EB18A1">
          <w:rPr>
            <w:rStyle w:val="Hyperlink"/>
          </w:rPr>
          <w:t>https://www.linkedin.com/in/suruchi-poddar-a146546/</w:t>
        </w:r>
      </w:hyperlink>
    </w:p>
    <w:p w14:paraId="7E761070" w14:textId="3ED7D0B2" w:rsidR="008C3ACE" w:rsidRDefault="00B5063E" w:rsidP="00EB18A1">
      <w:pPr>
        <w:pStyle w:val="BodyText"/>
        <w:ind w:left="316"/>
      </w:pPr>
      <w:r>
        <w:rPr>
          <w:color w:val="585858"/>
        </w:rPr>
        <w:t>Session name/ number:</w:t>
      </w:r>
      <w:r w:rsidR="00EB18A1">
        <w:rPr>
          <w:color w:val="585858"/>
        </w:rPr>
        <w:t xml:space="preserve"> 2-Tissue Materials and Process</w:t>
      </w:r>
    </w:p>
    <w:p w14:paraId="6ABE0CFC" w14:textId="77777777" w:rsidR="00EB18A1" w:rsidRDefault="00EB18A1" w:rsidP="00EB18A1">
      <w:pPr>
        <w:pStyle w:val="BodyText"/>
        <w:ind w:left="316" w:right="1786"/>
        <w:rPr>
          <w:color w:val="585858"/>
        </w:rPr>
      </w:pPr>
      <w:r>
        <w:rPr>
          <w:color w:val="585858"/>
        </w:rPr>
        <w:t xml:space="preserve">Category: </w:t>
      </w:r>
      <w:r w:rsidR="00B5063E">
        <w:rPr>
          <w:color w:val="585858"/>
        </w:rPr>
        <w:t>Oral presentation</w:t>
      </w:r>
    </w:p>
    <w:p w14:paraId="436D0902" w14:textId="67C39476" w:rsidR="008C3ACE" w:rsidRDefault="00B5063E" w:rsidP="00EB18A1">
      <w:pPr>
        <w:pStyle w:val="BodyText"/>
        <w:ind w:left="316" w:right="1786"/>
        <w:rPr>
          <w:sz w:val="18"/>
        </w:rPr>
        <w:sectPr w:rsidR="008C3ACE" w:rsidSect="002E682A">
          <w:type w:val="continuous"/>
          <w:pgSz w:w="11910" w:h="16840"/>
          <w:pgMar w:top="642" w:right="180" w:bottom="280" w:left="140" w:header="152" w:footer="160" w:gutter="0"/>
          <w:cols w:num="2" w:space="720" w:equalWidth="0">
            <w:col w:w="5639" w:space="40"/>
            <w:col w:w="5911"/>
          </w:cols>
        </w:sectPr>
      </w:pPr>
      <w:r>
        <w:rPr>
          <w:color w:val="585858"/>
        </w:rPr>
        <w:t>Passport Number</w:t>
      </w:r>
      <w:r w:rsidR="00EB18A1">
        <w:rPr>
          <w:color w:val="585858"/>
        </w:rPr>
        <w:t>:  L2042067</w:t>
      </w:r>
    </w:p>
    <w:p w14:paraId="410D40BD" w14:textId="4AA1F0F5" w:rsidR="008C3ACE" w:rsidRDefault="008C3ACE" w:rsidP="002E4CEB">
      <w:pPr>
        <w:pStyle w:val="BodyText"/>
        <w:spacing w:before="1"/>
        <w:rPr>
          <w:sz w:val="27"/>
        </w:rPr>
      </w:pPr>
    </w:p>
    <w:sectPr w:rsidR="008C3ACE" w:rsidSect="002E682A">
      <w:type w:val="continuous"/>
      <w:pgSz w:w="11910" w:h="16840"/>
      <w:pgMar w:top="642" w:right="180" w:bottom="280" w:left="140" w:header="152" w:footer="1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F569C" w14:textId="77777777" w:rsidR="00DA7D73" w:rsidRDefault="00DA7D73" w:rsidP="00905843">
      <w:r>
        <w:separator/>
      </w:r>
    </w:p>
  </w:endnote>
  <w:endnote w:type="continuationSeparator" w:id="0">
    <w:p w14:paraId="51B4AD0E" w14:textId="77777777" w:rsidR="00DA7D73" w:rsidRDefault="00DA7D73"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82EE" w14:textId="46A04514" w:rsidR="00905843" w:rsidRDefault="002E682A">
    <w:pPr>
      <w:pStyle w:val="Footer"/>
    </w:pPr>
    <w:r>
      <w:rPr>
        <w:noProof/>
      </w:rPr>
      <w:drawing>
        <wp:inline distT="0" distB="0" distL="0" distR="0" wp14:anchorId="0D86DEB8" wp14:editId="46EE6BB1">
          <wp:extent cx="7359650" cy="9556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0F9C46" w14:textId="77777777" w:rsidR="00DA7D73" w:rsidRDefault="00DA7D73" w:rsidP="00905843">
      <w:r>
        <w:separator/>
      </w:r>
    </w:p>
  </w:footnote>
  <w:footnote w:type="continuationSeparator" w:id="0">
    <w:p w14:paraId="660E1B9A" w14:textId="77777777" w:rsidR="00DA7D73" w:rsidRDefault="00DA7D73"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960F2" w14:textId="4F98E8D0" w:rsidR="00905843" w:rsidRDefault="002E682A">
    <w:pPr>
      <w:pStyle w:val="Header"/>
    </w:pPr>
    <w:r>
      <w:rPr>
        <w:noProof/>
      </w:rPr>
      <w:drawing>
        <wp:inline distT="0" distB="0" distL="0" distR="0" wp14:anchorId="38285E1D" wp14:editId="47999509">
          <wp:extent cx="7358332" cy="1104181"/>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43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B70DC"/>
    <w:rsid w:val="000C25AD"/>
    <w:rsid w:val="0010577A"/>
    <w:rsid w:val="002D3B0A"/>
    <w:rsid w:val="002E4CEB"/>
    <w:rsid w:val="002E682A"/>
    <w:rsid w:val="003F743B"/>
    <w:rsid w:val="00447E46"/>
    <w:rsid w:val="0046388E"/>
    <w:rsid w:val="005640BF"/>
    <w:rsid w:val="00571F75"/>
    <w:rsid w:val="0058095B"/>
    <w:rsid w:val="005D5585"/>
    <w:rsid w:val="005E69C2"/>
    <w:rsid w:val="006433E1"/>
    <w:rsid w:val="00655DEB"/>
    <w:rsid w:val="00664D27"/>
    <w:rsid w:val="006775F5"/>
    <w:rsid w:val="00677986"/>
    <w:rsid w:val="007076A7"/>
    <w:rsid w:val="007C1777"/>
    <w:rsid w:val="0087363E"/>
    <w:rsid w:val="008B1C3B"/>
    <w:rsid w:val="008C3ACE"/>
    <w:rsid w:val="00905843"/>
    <w:rsid w:val="00935715"/>
    <w:rsid w:val="009F3FAE"/>
    <w:rsid w:val="00A11783"/>
    <w:rsid w:val="00A36D27"/>
    <w:rsid w:val="00AD71F0"/>
    <w:rsid w:val="00B5063E"/>
    <w:rsid w:val="00B508F1"/>
    <w:rsid w:val="00B62DAB"/>
    <w:rsid w:val="00BF55A2"/>
    <w:rsid w:val="00C011CD"/>
    <w:rsid w:val="00C164E0"/>
    <w:rsid w:val="00CB5B6B"/>
    <w:rsid w:val="00D13B33"/>
    <w:rsid w:val="00D45022"/>
    <w:rsid w:val="00DA7D73"/>
    <w:rsid w:val="00DE2EBA"/>
    <w:rsid w:val="00E92D8A"/>
    <w:rsid w:val="00EB18A1"/>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F9075B8C-435D-41EA-90F6-43CB275DD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styleId="Bibliography">
    <w:name w:val="Bibliography"/>
    <w:basedOn w:val="Normal"/>
    <w:next w:val="Normal"/>
    <w:uiPriority w:val="37"/>
    <w:unhideWhenUsed/>
    <w:rsid w:val="00B62DAB"/>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hyperlink" Target="https://www.linkedin.com/in/suruchi-poddar-a1465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2</Pages>
  <Words>2154</Words>
  <Characters>12279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14405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40</cp:revision>
  <dcterms:created xsi:type="dcterms:W3CDTF">2018-02-05T12:50:00Z</dcterms:created>
  <dcterms:modified xsi:type="dcterms:W3CDTF">2019-05-29T18:29:00Z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y fmtid="{D5CDD505-2E9C-101B-9397-08002B2CF9AE}" pid="5" name="ZOTERO_PREF_1">
    <vt:lpwstr>&lt;data data-version="3" zotero-version="5.0.66"&gt;&lt;session id="6bw2Lar6"/&gt;&lt;style id="http://www.zotero.org/styles/ieee" locale="en-US" hasBibliography="1" bibliographyStyleHasBeenSet="1"/&gt;&lt;prefs&gt;&lt;pref name="fieldType" value="Field"/&gt;&lt;/prefs&gt;&lt;/data&gt;</vt:lpwstr>
  </property>
</Properties>
</file>