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F140C" w14:textId="280E0BDA" w:rsidR="00AE3E37" w:rsidRDefault="00BB7BF2" w:rsidP="00494130">
      <w:pPr>
        <w:pStyle w:val="Heading1"/>
        <w:spacing w:before="170"/>
        <w:ind w:left="0"/>
      </w:pPr>
      <w:r>
        <w:rPr>
          <w:color w:val="337AB7"/>
        </w:rPr>
        <w:t>Using Telemedicine to Improve Access to Care as Part of the Employee Medical Home:  A Feasibility Study</w:t>
      </w:r>
    </w:p>
    <w:p w14:paraId="035761A8" w14:textId="4A4A1317" w:rsidR="002319E5" w:rsidRDefault="00BB7BF2" w:rsidP="002319E5">
      <w:pPr>
        <w:pStyle w:val="BodyText"/>
        <w:spacing w:before="73" w:line="198" w:lineRule="exact"/>
        <w:ind w:left="100" w:right="5987"/>
        <w:rPr>
          <w:rFonts w:ascii="Arial"/>
        </w:rPr>
      </w:pPr>
      <w:r>
        <w:rPr>
          <w:rFonts w:ascii="Arial"/>
        </w:rPr>
        <w:t>Sherry C. Ellis, RN/BSN</w:t>
      </w:r>
    </w:p>
    <w:p w14:paraId="007F31AE" w14:textId="77777777" w:rsidR="00AE3E37" w:rsidRDefault="00AE3E37">
      <w:pPr>
        <w:pStyle w:val="BodyText"/>
        <w:rPr>
          <w:rFonts w:ascii="Arial"/>
          <w:sz w:val="20"/>
        </w:rPr>
      </w:pPr>
    </w:p>
    <w:p w14:paraId="2AA19988" w14:textId="77777777" w:rsidR="00AE3E37" w:rsidRDefault="00AE3E37">
      <w:pPr>
        <w:pStyle w:val="BodyText"/>
        <w:spacing w:before="3"/>
        <w:rPr>
          <w:rFonts w:ascii="Arial"/>
          <w:sz w:val="21"/>
        </w:rPr>
      </w:pPr>
    </w:p>
    <w:p w14:paraId="148BCE8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527EC109" w14:textId="2458EF12" w:rsidR="00AE3E37" w:rsidRDefault="00A9710C">
      <w:pPr>
        <w:pStyle w:val="Heading3"/>
        <w:spacing w:before="147"/>
        <w:jc w:val="both"/>
      </w:pPr>
      <w:r>
        <w:rPr>
          <w:color w:val="BF5A14"/>
        </w:rPr>
        <w:t>Abstract</w:t>
      </w:r>
      <w:r w:rsidR="00036840">
        <w:rPr>
          <w:color w:val="BF5A14"/>
        </w:rPr>
        <w:t>:</w:t>
      </w:r>
    </w:p>
    <w:p w14:paraId="2CB2DE4B" w14:textId="2146A6E0" w:rsidR="002319E5" w:rsidRDefault="00A9710C" w:rsidP="002319E5">
      <w:pPr>
        <w:widowControl/>
        <w:contextualSpacing/>
        <w:rPr>
          <w:rFonts w:eastAsiaTheme="minorEastAsia" w:cstheme="minorBidi"/>
          <w:color w:val="000000" w:themeColor="text1"/>
          <w:kern w:val="24"/>
          <w:position w:val="1"/>
        </w:rPr>
      </w:pPr>
      <w:r w:rsidRPr="00036840">
        <w:t>Statement of the Problem:</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Employees of Tift Regional Health System located at Cook Medical Center and affiliated clinics in Adel, Georgia need better access to the care and services offered by the TRHS Employee Medical Home. The location of the EMH at the main campus in Tifton makes it difficult for the employees in Adel to take advantage of the free services offered by the EMH to the employee. </w:t>
      </w:r>
      <w:r w:rsidR="00104D63">
        <w:rPr>
          <w:rFonts w:eastAsiaTheme="minorEastAsia" w:cstheme="minorBidi"/>
          <w:bCs/>
          <w:color w:val="000000" w:themeColor="text1"/>
          <w:kern w:val="24"/>
          <w:position w:val="1"/>
        </w:rPr>
        <w:t>U</w:t>
      </w:r>
      <w:r w:rsidR="00BB7BF2" w:rsidRPr="00036840">
        <w:rPr>
          <w:rFonts w:eastAsiaTheme="minorEastAsia" w:cstheme="minorBidi"/>
          <w:bCs/>
          <w:color w:val="000000" w:themeColor="text1"/>
          <w:kern w:val="24"/>
          <w:position w:val="1"/>
        </w:rPr>
        <w:t>nderutilization of the EMH by the employee creates increases in claims data and thereby increases cost to the organization</w:t>
      </w:r>
      <w:r w:rsidR="00BB7BF2" w:rsidRPr="00036840">
        <w:t xml:space="preserve">.  </w:t>
      </w:r>
      <w:r w:rsidRPr="00036840">
        <w:t>Methodolog</w:t>
      </w:r>
      <w:r w:rsidR="008756E6" w:rsidRPr="00036840">
        <w:t>y &amp; Theoretical Orientation:</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A project management methodology was used to structure the </w:t>
      </w:r>
      <w:r w:rsidR="00104D63" w:rsidRPr="00036840">
        <w:rPr>
          <w:rFonts w:eastAsiaTheme="minorEastAsia" w:cstheme="minorBidi"/>
          <w:bCs/>
          <w:color w:val="000000" w:themeColor="text1"/>
          <w:kern w:val="24"/>
          <w:position w:val="1"/>
        </w:rPr>
        <w:t>project.</w:t>
      </w:r>
      <w:r w:rsidR="00104D63">
        <w:rPr>
          <w:rFonts w:eastAsiaTheme="minorEastAsia" w:cstheme="minorBidi"/>
          <w:bCs/>
          <w:color w:val="000000" w:themeColor="text1"/>
          <w:kern w:val="24"/>
          <w:position w:val="1"/>
        </w:rPr>
        <w:t xml:space="preserve">  </w:t>
      </w:r>
      <w:r w:rsidR="00BB7BF2" w:rsidRPr="00036840">
        <w:rPr>
          <w:rFonts w:eastAsiaTheme="minorEastAsia" w:cstheme="minorBidi"/>
          <w:bCs/>
          <w:color w:val="000000" w:themeColor="text1"/>
          <w:kern w:val="24"/>
          <w:position w:val="1"/>
        </w:rPr>
        <w:t xml:space="preserve">A 13-question survey was administered to employees </w:t>
      </w:r>
      <w:r w:rsidR="00104D63">
        <w:rPr>
          <w:rFonts w:eastAsiaTheme="minorEastAsia" w:cstheme="minorBidi"/>
          <w:bCs/>
          <w:color w:val="000000" w:themeColor="text1"/>
          <w:kern w:val="24"/>
          <w:position w:val="1"/>
        </w:rPr>
        <w:t xml:space="preserve">at CMC </w:t>
      </w:r>
      <w:r w:rsidR="00BB7BF2" w:rsidRPr="00036840">
        <w:rPr>
          <w:rFonts w:eastAsiaTheme="minorEastAsia" w:cstheme="minorBidi"/>
          <w:bCs/>
          <w:color w:val="000000" w:themeColor="text1"/>
          <w:kern w:val="24"/>
          <w:position w:val="1"/>
        </w:rPr>
        <w:t>to examine willingness to use a telemedicine service. A retrospective review of 2017 claims data was analyzed to</w:t>
      </w:r>
      <w:r w:rsidR="00BB7BF2" w:rsidRPr="00036840">
        <w:rPr>
          <w:rFonts w:asciiTheme="minorHAnsi" w:eastAsiaTheme="minorEastAsia" w:hAnsi="Calibri" w:cstheme="minorBidi"/>
          <w:b/>
          <w:bCs/>
          <w:color w:val="000000" w:themeColor="text1"/>
          <w:kern w:val="24"/>
          <w:position w:val="1"/>
        </w:rPr>
        <w:t xml:space="preserve"> </w:t>
      </w:r>
      <w:r w:rsidR="00BB7BF2" w:rsidRPr="00036840">
        <w:rPr>
          <w:rFonts w:eastAsiaTheme="minorEastAsia" w:cstheme="minorBidi"/>
          <w:bCs/>
          <w:color w:val="000000" w:themeColor="text1"/>
          <w:kern w:val="24"/>
          <w:position w:val="1"/>
        </w:rPr>
        <w:t>project potential cost savings if utilization of the TRHS EMH is increased.</w:t>
      </w:r>
      <w:r w:rsidR="00BB7BF2" w:rsidRPr="00036840">
        <w:t xml:space="preserve">  </w:t>
      </w:r>
      <w:r w:rsidR="007A4CD8">
        <w:t xml:space="preserve">Theoretical Framework includes Orem’s Self-Care Deficit Theory and Blum’s DIKW theory. </w:t>
      </w:r>
      <w:r w:rsidRPr="00036840">
        <w:t xml:space="preserve">Findings: </w:t>
      </w:r>
      <w:r w:rsidR="00BB7BF2" w:rsidRPr="00036840">
        <w:rPr>
          <w:rFonts w:eastAsiaTheme="minorEastAsia" w:cstheme="minorBidi"/>
          <w:bCs/>
          <w:color w:val="000000" w:themeColor="text1"/>
          <w:kern w:val="24"/>
          <w:position w:val="1"/>
        </w:rPr>
        <w:t xml:space="preserve">The </w:t>
      </w:r>
      <w:r w:rsidR="002319E5" w:rsidRPr="00036840">
        <w:rPr>
          <w:rFonts w:eastAsiaTheme="minorEastAsia" w:cstheme="minorBidi"/>
          <w:bCs/>
          <w:color w:val="000000" w:themeColor="text1"/>
          <w:kern w:val="24"/>
          <w:position w:val="1"/>
        </w:rPr>
        <w:t xml:space="preserve">survey </w:t>
      </w:r>
      <w:r w:rsidR="00BB7BF2" w:rsidRPr="00036840">
        <w:rPr>
          <w:rFonts w:eastAsiaTheme="minorEastAsia" w:cstheme="minorBidi"/>
          <w:bCs/>
          <w:color w:val="000000" w:themeColor="text1"/>
          <w:kern w:val="24"/>
          <w:position w:val="1"/>
        </w:rPr>
        <w:t>results demonstrated that 67% of the 78 respondents are willing to use a telemedicine servic</w:t>
      </w:r>
      <w:r w:rsidR="002319E5" w:rsidRPr="00036840">
        <w:rPr>
          <w:rFonts w:eastAsiaTheme="minorEastAsia" w:cstheme="minorBidi"/>
          <w:bCs/>
          <w:color w:val="000000" w:themeColor="text1"/>
          <w:kern w:val="24"/>
          <w:position w:val="1"/>
        </w:rPr>
        <w:t xml:space="preserve">e.  The retrospective review of the claims data showed that only a 5% increase in utilization of the EMH is needed to project significant savings to the organization.  </w:t>
      </w:r>
      <w:r w:rsidR="00036840" w:rsidRPr="00036840">
        <w:rPr>
          <w:rFonts w:eastAsiaTheme="minorEastAsia" w:cstheme="minorBidi"/>
          <w:bCs/>
          <w:color w:val="000000" w:themeColor="text1"/>
          <w:kern w:val="24"/>
          <w:position w:val="1"/>
        </w:rPr>
        <w:t xml:space="preserve">The study is limited due to the small sample size and also due to the lack of data available on use of the Employee Medical Home at TRHS. </w:t>
      </w:r>
      <w:r w:rsidR="00BB7BF2" w:rsidRPr="00036840">
        <w:rPr>
          <w:rFonts w:eastAsiaTheme="minorEastAsia" w:cstheme="minorBidi"/>
          <w:bCs/>
          <w:color w:val="000000" w:themeColor="text1"/>
          <w:kern w:val="24"/>
          <w:position w:val="1"/>
        </w:rPr>
        <w:t xml:space="preserve"> </w:t>
      </w:r>
      <w:r w:rsidRPr="00036840">
        <w:t xml:space="preserve">Conclusion &amp; Significance: </w:t>
      </w:r>
      <w:r w:rsidR="002319E5" w:rsidRPr="00036840">
        <w:rPr>
          <w:rFonts w:eastAsiaTheme="minorEastAsia" w:cstheme="minorBidi"/>
          <w:color w:val="000000" w:themeColor="text1"/>
          <w:kern w:val="24"/>
          <w:position w:val="1"/>
        </w:rPr>
        <w:t>Feasibility of successful adoption of a telemedicine survey is positive based on the survey response.  Projected cost savings to the organization is significant and</w:t>
      </w:r>
      <w:r w:rsidR="002319E5" w:rsidRPr="00036840">
        <w:rPr>
          <w:rFonts w:asciiTheme="minorHAnsi" w:eastAsiaTheme="minorEastAsia" w:hAnsi="Calibri" w:cstheme="minorBidi"/>
          <w:color w:val="000000" w:themeColor="text1"/>
          <w:kern w:val="24"/>
          <w:position w:val="1"/>
        </w:rPr>
        <w:t xml:space="preserve"> </w:t>
      </w:r>
      <w:r w:rsidR="002319E5" w:rsidRPr="00036840">
        <w:rPr>
          <w:rFonts w:eastAsiaTheme="minorEastAsia" w:cstheme="minorBidi"/>
          <w:color w:val="000000" w:themeColor="text1"/>
          <w:kern w:val="24"/>
          <w:position w:val="1"/>
        </w:rPr>
        <w:t xml:space="preserve">supports expanding the EMH via telemedicine to </w:t>
      </w:r>
      <w:r w:rsidR="007A4CD8">
        <w:rPr>
          <w:rFonts w:eastAsiaTheme="minorEastAsia" w:cstheme="minorBidi"/>
          <w:color w:val="000000" w:themeColor="text1"/>
          <w:kern w:val="24"/>
          <w:position w:val="1"/>
        </w:rPr>
        <w:t xml:space="preserve">a </w:t>
      </w:r>
      <w:r w:rsidR="002319E5" w:rsidRPr="00036840">
        <w:rPr>
          <w:rFonts w:eastAsiaTheme="minorEastAsia" w:cstheme="minorBidi"/>
          <w:color w:val="000000" w:themeColor="text1"/>
          <w:kern w:val="24"/>
          <w:position w:val="1"/>
        </w:rPr>
        <w:t>remote TRHS location</w:t>
      </w:r>
      <w:r w:rsidR="007A4CD8">
        <w:rPr>
          <w:rFonts w:eastAsiaTheme="minorEastAsia" w:cstheme="minorBidi"/>
          <w:color w:val="000000" w:themeColor="text1"/>
          <w:kern w:val="24"/>
          <w:position w:val="1"/>
        </w:rPr>
        <w:t xml:space="preserve">. </w:t>
      </w:r>
    </w:p>
    <w:p w14:paraId="2E7C9A0C" w14:textId="77777777" w:rsidR="0020276B" w:rsidRDefault="0020276B" w:rsidP="002319E5">
      <w:pPr>
        <w:widowControl/>
        <w:contextualSpacing/>
        <w:rPr>
          <w:rFonts w:eastAsiaTheme="minorEastAsia" w:cstheme="minorBidi"/>
          <w:color w:val="000000" w:themeColor="text1"/>
          <w:kern w:val="24"/>
          <w:position w:val="1"/>
        </w:rPr>
      </w:pPr>
    </w:p>
    <w:p w14:paraId="54AA71C3" w14:textId="77777777" w:rsidR="0020276B" w:rsidRDefault="0020276B" w:rsidP="002319E5">
      <w:pPr>
        <w:widowControl/>
        <w:contextualSpacing/>
        <w:rPr>
          <w:rFonts w:eastAsiaTheme="minorEastAsia" w:cstheme="minorBidi"/>
          <w:color w:val="000000" w:themeColor="text1"/>
          <w:kern w:val="24"/>
          <w:position w:val="1"/>
        </w:rPr>
      </w:pPr>
    </w:p>
    <w:p w14:paraId="41505440" w14:textId="77777777" w:rsidR="00104D63" w:rsidRDefault="0020276B" w:rsidP="002319E5">
      <w:pPr>
        <w:widowControl/>
        <w:contextualSpacing/>
        <w:rPr>
          <w:rFonts w:eastAsia="Times New Roman" w:cs="Times New Roman"/>
          <w:color w:val="AD8F67"/>
        </w:rPr>
      </w:pPr>
      <w:r w:rsidRPr="0020276B">
        <w:rPr>
          <w:rFonts w:eastAsia="Times New Roman" w:cs="Times New Roman"/>
          <w:noProof/>
          <w:color w:val="AD8F67"/>
        </w:rPr>
        <w:drawing>
          <wp:inline distT="0" distB="0" distL="0" distR="0" wp14:anchorId="6230916B" wp14:editId="5C011BBF">
            <wp:extent cx="3504966" cy="26289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08230" cy="2631348"/>
                    </a:xfrm>
                    <a:prstGeom prst="rect">
                      <a:avLst/>
                    </a:prstGeom>
                  </pic:spPr>
                </pic:pic>
              </a:graphicData>
            </a:graphic>
          </wp:inline>
        </w:drawing>
      </w:r>
    </w:p>
    <w:p w14:paraId="45B013C2" w14:textId="0921F54C" w:rsidR="00104D63" w:rsidRDefault="00104D63" w:rsidP="0020276B">
      <w:pPr>
        <w:widowControl/>
        <w:contextualSpacing/>
        <w:rPr>
          <w:rFonts w:eastAsia="Times New Roman" w:cs="Times New Roman"/>
          <w:color w:val="AD8F67"/>
        </w:rPr>
      </w:pPr>
    </w:p>
    <w:p w14:paraId="3EF3F284" w14:textId="77777777" w:rsidR="0020276B" w:rsidRDefault="0020276B" w:rsidP="0020276B">
      <w:pPr>
        <w:widowControl/>
        <w:contextualSpacing/>
        <w:rPr>
          <w:rFonts w:eastAsia="Times New Roman" w:cs="Times New Roman"/>
          <w:color w:val="AD8F67"/>
        </w:rPr>
      </w:pPr>
    </w:p>
    <w:p w14:paraId="16A71BD3" w14:textId="23E33117" w:rsidR="00104D63" w:rsidRDefault="00104D63" w:rsidP="002319E5">
      <w:pPr>
        <w:widowControl/>
        <w:contextualSpacing/>
        <w:rPr>
          <w:rFonts w:eastAsia="Times New Roman" w:cs="Times New Roman"/>
          <w:color w:val="AD8F67"/>
        </w:rPr>
      </w:pPr>
    </w:p>
    <w:p w14:paraId="5DDF051D" w14:textId="4FD4077F" w:rsidR="00104D63" w:rsidRDefault="00104D63" w:rsidP="002319E5">
      <w:pPr>
        <w:widowControl/>
        <w:contextualSpacing/>
        <w:rPr>
          <w:rFonts w:eastAsia="Times New Roman" w:cs="Times New Roman"/>
          <w:color w:val="AD8F67"/>
        </w:rPr>
      </w:pPr>
    </w:p>
    <w:p w14:paraId="14306470" w14:textId="1F89D33D" w:rsidR="00104D63" w:rsidRDefault="00104D63" w:rsidP="002319E5">
      <w:pPr>
        <w:widowControl/>
        <w:contextualSpacing/>
        <w:rPr>
          <w:rFonts w:eastAsia="Times New Roman" w:cs="Times New Roman"/>
          <w:color w:val="AD8F67"/>
        </w:rPr>
      </w:pPr>
    </w:p>
    <w:p w14:paraId="057987A2" w14:textId="77777777" w:rsidR="00104D63" w:rsidRPr="00036840" w:rsidRDefault="00104D63" w:rsidP="002319E5">
      <w:pPr>
        <w:widowControl/>
        <w:contextualSpacing/>
        <w:rPr>
          <w:rFonts w:eastAsia="Times New Roman" w:cs="Times New Roman"/>
          <w:color w:val="AD8F67"/>
        </w:rPr>
      </w:pPr>
    </w:p>
    <w:p w14:paraId="63C04A00" w14:textId="615ADF72" w:rsidR="002319E5" w:rsidRPr="00036840" w:rsidRDefault="002319E5" w:rsidP="002319E5">
      <w:pPr>
        <w:widowControl/>
        <w:contextualSpacing/>
        <w:rPr>
          <w:color w:val="BF5A14"/>
        </w:rPr>
      </w:pPr>
    </w:p>
    <w:p w14:paraId="62E3CE58" w14:textId="38E246B1" w:rsidR="00AE3E37" w:rsidRDefault="00AE3E37" w:rsidP="00104D63">
      <w:pPr>
        <w:pStyle w:val="Heading3"/>
        <w:spacing w:before="74"/>
        <w:ind w:left="0"/>
        <w:rPr>
          <w:rFonts w:ascii="Tw Cen MT" w:hAnsi="Tw Cen MT"/>
          <w:color w:val="BF5A14"/>
          <w:sz w:val="18"/>
          <w:szCs w:val="18"/>
        </w:rPr>
      </w:pPr>
    </w:p>
    <w:p w14:paraId="1C59BF7D" w14:textId="77777777" w:rsidR="00104D63" w:rsidRPr="002319E5" w:rsidRDefault="00104D63">
      <w:pPr>
        <w:pStyle w:val="Heading3"/>
        <w:spacing w:before="74"/>
        <w:rPr>
          <w:rFonts w:ascii="Tw Cen MT" w:hAnsi="Tw Cen MT"/>
          <w:sz w:val="18"/>
          <w:szCs w:val="18"/>
        </w:rPr>
      </w:pPr>
    </w:p>
    <w:p w14:paraId="586FF8D5" w14:textId="7465C4F5" w:rsidR="00AE3E37" w:rsidRDefault="00AE3E37">
      <w:pPr>
        <w:pStyle w:val="BodyText"/>
        <w:spacing w:before="2"/>
        <w:rPr>
          <w:rFonts w:ascii="Arial"/>
          <w:b/>
          <w:sz w:val="16"/>
        </w:rPr>
      </w:pPr>
    </w:p>
    <w:p w14:paraId="1DB44E4A" w14:textId="74E40F91" w:rsidR="00AE3E37" w:rsidRPr="008756E6" w:rsidRDefault="005973B9" w:rsidP="002319E5">
      <w:pPr>
        <w:spacing w:line="204" w:lineRule="exact"/>
      </w:pPr>
      <w:r>
        <w:rPr>
          <w:rFonts w:ascii="Arial"/>
          <w:b/>
          <w:color w:val="BF5A14"/>
          <w:sz w:val="20"/>
        </w:rPr>
        <w:br/>
      </w:r>
    </w:p>
    <w:p w14:paraId="292C22E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D43F6B3" w14:textId="77777777" w:rsidR="00AE3E37" w:rsidRDefault="00AE3E37">
      <w:pPr>
        <w:pStyle w:val="BodyText"/>
        <w:rPr>
          <w:rFonts w:ascii="Calibri"/>
          <w:sz w:val="20"/>
        </w:rPr>
      </w:pPr>
    </w:p>
    <w:p w14:paraId="535BF164"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AA1B91" wp14:editId="25F07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25BE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48644B" w14:textId="472F2EB4" w:rsidR="00AE3E37" w:rsidRDefault="008756E6" w:rsidP="00404E5B">
      <w:pPr>
        <w:spacing w:before="92"/>
        <w:ind w:right="4234"/>
        <w:rPr>
          <w:rFonts w:ascii="Arial"/>
        </w:rPr>
      </w:pPr>
      <w:r>
        <w:rPr>
          <w:noProof/>
        </w:rPr>
        <w:t xml:space="preserve">   </w:t>
      </w:r>
      <w:r w:rsidR="00036840">
        <w:rPr>
          <w:noProof/>
        </w:rPr>
        <w:drawing>
          <wp:inline distT="0" distB="0" distL="0" distR="0" wp14:anchorId="0A0550BD" wp14:editId="31CE804E">
            <wp:extent cx="457099" cy="3429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81485" cy="361194"/>
                    </a:xfrm>
                    <a:prstGeom prst="rect">
                      <a:avLst/>
                    </a:prstGeom>
                    <a:noFill/>
                    <a:ln>
                      <a:noFill/>
                    </a:ln>
                  </pic:spPr>
                </pic:pic>
              </a:graphicData>
            </a:graphic>
          </wp:inline>
        </w:drawing>
      </w:r>
      <w:r>
        <w:rPr>
          <w:noProof/>
        </w:rPr>
        <w:t xml:space="preserve"> </w:t>
      </w:r>
    </w:p>
    <w:p w14:paraId="393C585B" w14:textId="145C5964" w:rsidR="00AE3E37" w:rsidRPr="00036840" w:rsidRDefault="002319E5">
      <w:pPr>
        <w:spacing w:before="41" w:line="154" w:lineRule="exact"/>
        <w:ind w:left="213" w:right="231"/>
        <w:jc w:val="both"/>
        <w:rPr>
          <w:sz w:val="20"/>
          <w:szCs w:val="20"/>
        </w:rPr>
      </w:pPr>
      <w:r w:rsidRPr="00036840">
        <w:rPr>
          <w:sz w:val="20"/>
          <w:szCs w:val="20"/>
        </w:rPr>
        <w:t xml:space="preserve">Sherry Ellis currently serves as the Director of Clinical Informatics at Tift Regional Health System.  Sherry has 18 years as a practicing nurse at TRHS having worked in Critical Care, Nursing Administration </w:t>
      </w:r>
      <w:r w:rsidR="00036840" w:rsidRPr="00036840">
        <w:rPr>
          <w:sz w:val="20"/>
          <w:szCs w:val="20"/>
        </w:rPr>
        <w:t>and</w:t>
      </w:r>
      <w:r w:rsidRPr="00036840">
        <w:rPr>
          <w:sz w:val="20"/>
          <w:szCs w:val="20"/>
        </w:rPr>
        <w:t xml:space="preserve"> IT.  She supervises 7 nurse informaticists and oversees adoption of the EMR by clinical staff and physicians in acute and ambulatory settings.  </w:t>
      </w:r>
      <w:r w:rsidR="00036840" w:rsidRPr="00036840">
        <w:rPr>
          <w:sz w:val="20"/>
          <w:szCs w:val="20"/>
        </w:rPr>
        <w:t xml:space="preserve">Her staff recently received an award by Vizient in Georgia for collaborative alliance with nursing for improvement in bar code medication compliance across the organization.  Sherry is a candidate for her MSN in Informatics at Georgia Southwestern State University and is expected to graduate in May, 2018.  </w:t>
      </w:r>
    </w:p>
    <w:p w14:paraId="5B165CFF" w14:textId="7B436490" w:rsidR="00AE3E37" w:rsidRDefault="00A9710C">
      <w:pPr>
        <w:spacing w:before="62"/>
        <w:ind w:left="4217" w:right="4235"/>
        <w:jc w:val="center"/>
        <w:rPr>
          <w:rFonts w:ascii="Arial"/>
          <w:sz w:val="14"/>
        </w:rPr>
      </w:pPr>
      <w:r>
        <w:rPr>
          <w:rFonts w:ascii="Arial"/>
          <w:sz w:val="14"/>
        </w:rPr>
        <w:t>Emai</w:t>
      </w:r>
      <w:r w:rsidR="002319E5">
        <w:rPr>
          <w:rFonts w:ascii="Arial"/>
          <w:sz w:val="14"/>
        </w:rPr>
        <w:t xml:space="preserve">l: </w:t>
      </w:r>
      <w:hyperlink r:id="rId12" w:history="1">
        <w:r w:rsidR="00621500" w:rsidRPr="00AD5074">
          <w:rPr>
            <w:rStyle w:val="Hyperlink"/>
            <w:rFonts w:ascii="Arial"/>
            <w:sz w:val="14"/>
          </w:rPr>
          <w:t>sherryellis151@hotmail.com</w:t>
        </w:r>
      </w:hyperlink>
    </w:p>
    <w:p w14:paraId="78D5A1D3" w14:textId="77777777" w:rsidR="00621500" w:rsidRDefault="00621500">
      <w:pPr>
        <w:spacing w:before="62"/>
        <w:ind w:left="4217" w:right="4235"/>
        <w:jc w:val="center"/>
        <w:rPr>
          <w:rFonts w:ascii="Arial"/>
          <w:sz w:val="14"/>
        </w:rPr>
      </w:pPr>
      <w:bookmarkStart w:id="0" w:name="_GoBack"/>
      <w:bookmarkEnd w:id="0"/>
    </w:p>
    <w:p w14:paraId="58C0B98A" w14:textId="77777777" w:rsidR="00036840" w:rsidRDefault="00036840">
      <w:pPr>
        <w:spacing w:before="62"/>
        <w:ind w:left="4217" w:right="4235"/>
        <w:jc w:val="center"/>
        <w:rPr>
          <w:rFonts w:ascii="Arial"/>
          <w:sz w:val="14"/>
        </w:rPr>
      </w:pPr>
    </w:p>
    <w:p w14:paraId="03FA767C"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80A06F" wp14:editId="2F9798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4D7A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AA03057" w14:textId="77777777" w:rsidR="00AE3E37" w:rsidRDefault="00AE3E37">
      <w:pPr>
        <w:pStyle w:val="BodyText"/>
        <w:rPr>
          <w:rFonts w:ascii="Arial"/>
          <w:sz w:val="20"/>
        </w:rPr>
      </w:pPr>
    </w:p>
    <w:p w14:paraId="24207F3C" w14:textId="77777777" w:rsidR="007464BB" w:rsidRDefault="007464BB" w:rsidP="0020276B">
      <w:pPr>
        <w:pStyle w:val="BodyText"/>
        <w:jc w:val="center"/>
        <w:rPr>
          <w:sz w:val="22"/>
          <w:szCs w:val="22"/>
        </w:rPr>
      </w:pPr>
    </w:p>
    <w:p w14:paraId="0C206676" w14:textId="77777777" w:rsidR="007464BB" w:rsidRDefault="007464BB" w:rsidP="0020276B">
      <w:pPr>
        <w:pStyle w:val="BodyText"/>
        <w:jc w:val="center"/>
        <w:rPr>
          <w:sz w:val="22"/>
          <w:szCs w:val="22"/>
        </w:rPr>
      </w:pPr>
    </w:p>
    <w:p w14:paraId="0114C12A" w14:textId="77777777" w:rsidR="007464BB" w:rsidRDefault="007464BB" w:rsidP="0020276B">
      <w:pPr>
        <w:pStyle w:val="BodyText"/>
        <w:jc w:val="center"/>
        <w:rPr>
          <w:sz w:val="22"/>
          <w:szCs w:val="22"/>
        </w:rPr>
      </w:pPr>
    </w:p>
    <w:p w14:paraId="6CD994FC" w14:textId="77777777" w:rsidR="007464BB" w:rsidRDefault="007464BB" w:rsidP="0020276B">
      <w:pPr>
        <w:pStyle w:val="BodyText"/>
        <w:jc w:val="center"/>
        <w:rPr>
          <w:sz w:val="22"/>
          <w:szCs w:val="22"/>
        </w:rPr>
      </w:pPr>
    </w:p>
    <w:p w14:paraId="0A5975F7" w14:textId="77777777" w:rsidR="007464BB" w:rsidRDefault="007464BB" w:rsidP="0020276B">
      <w:pPr>
        <w:pStyle w:val="BodyText"/>
        <w:jc w:val="center"/>
        <w:rPr>
          <w:sz w:val="22"/>
          <w:szCs w:val="22"/>
        </w:rPr>
      </w:pPr>
    </w:p>
    <w:p w14:paraId="548D13AF" w14:textId="77777777" w:rsidR="007464BB" w:rsidRDefault="007464BB" w:rsidP="0020276B">
      <w:pPr>
        <w:pStyle w:val="BodyText"/>
        <w:jc w:val="center"/>
        <w:rPr>
          <w:sz w:val="22"/>
          <w:szCs w:val="22"/>
        </w:rPr>
      </w:pPr>
    </w:p>
    <w:p w14:paraId="7BC347FD" w14:textId="77777777" w:rsidR="007464BB" w:rsidRDefault="007464BB" w:rsidP="0020276B">
      <w:pPr>
        <w:pStyle w:val="BodyText"/>
        <w:jc w:val="center"/>
        <w:rPr>
          <w:sz w:val="22"/>
          <w:szCs w:val="22"/>
        </w:rPr>
      </w:pPr>
    </w:p>
    <w:p w14:paraId="591E8CE8" w14:textId="77777777" w:rsidR="007464BB" w:rsidRDefault="007464BB" w:rsidP="0020276B">
      <w:pPr>
        <w:pStyle w:val="BodyText"/>
        <w:jc w:val="center"/>
        <w:rPr>
          <w:sz w:val="22"/>
          <w:szCs w:val="22"/>
        </w:rPr>
      </w:pPr>
    </w:p>
    <w:p w14:paraId="2E6B4369" w14:textId="0DADA1A2" w:rsidR="00AE3E37" w:rsidRPr="0020276B" w:rsidRDefault="0020276B" w:rsidP="0020276B">
      <w:pPr>
        <w:pStyle w:val="BodyText"/>
        <w:jc w:val="center"/>
        <w:rPr>
          <w:sz w:val="22"/>
          <w:szCs w:val="22"/>
        </w:rPr>
      </w:pPr>
      <w:r w:rsidRPr="0020276B">
        <w:rPr>
          <w:sz w:val="22"/>
          <w:szCs w:val="22"/>
        </w:rPr>
        <w:t>References</w:t>
      </w:r>
    </w:p>
    <w:p w14:paraId="31805ED8" w14:textId="77777777" w:rsidR="0020276B" w:rsidRPr="0020276B" w:rsidRDefault="0020276B" w:rsidP="0020276B">
      <w:pPr>
        <w:pStyle w:val="BodyText"/>
        <w:jc w:val="center"/>
        <w:rPr>
          <w:sz w:val="20"/>
        </w:rPr>
      </w:pPr>
    </w:p>
    <w:p w14:paraId="6405E9C2" w14:textId="77777777" w:rsidR="00AE3E37" w:rsidRDefault="00AE3E37">
      <w:pPr>
        <w:pStyle w:val="BodyText"/>
        <w:spacing w:before="7"/>
        <w:rPr>
          <w:rFonts w:ascii="Arial"/>
          <w:sz w:val="29"/>
        </w:rPr>
      </w:pPr>
    </w:p>
    <w:p w14:paraId="24C35D30"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sz w:val="22"/>
        </w:rPr>
        <w:fldChar w:fldCharType="begin"/>
      </w:r>
      <w:r w:rsidRPr="0020276B">
        <w:rPr>
          <w:rFonts w:ascii="Tw Cen MT" w:hAnsi="Tw Cen MT"/>
          <w:sz w:val="22"/>
        </w:rPr>
        <w:instrText xml:space="preserve"> BIBLIOGRAPHY  \l 1033 </w:instrText>
      </w:r>
      <w:r w:rsidRPr="0020276B">
        <w:rPr>
          <w:rFonts w:ascii="Tw Cen MT" w:hAnsi="Tw Cen MT"/>
          <w:sz w:val="22"/>
        </w:rPr>
        <w:fldChar w:fldCharType="separate"/>
      </w:r>
      <w:r w:rsidRPr="0020276B">
        <w:rPr>
          <w:rFonts w:ascii="Tw Cen MT" w:hAnsi="Tw Cen MT"/>
          <w:i/>
          <w:iCs/>
          <w:noProof/>
          <w:sz w:val="22"/>
        </w:rPr>
        <w:t>About Telemedicine</w:t>
      </w:r>
      <w:r w:rsidRPr="0020276B">
        <w:rPr>
          <w:rFonts w:ascii="Tw Cen MT" w:hAnsi="Tw Cen MT"/>
          <w:noProof/>
          <w:sz w:val="22"/>
        </w:rPr>
        <w:t>. (2017, January 27). Retrieved from American Telemedicine Association: http://www.americantelemed.org/about/about-telemedicine</w:t>
      </w:r>
    </w:p>
    <w:p w14:paraId="75DAB04F"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American Nurses Association. (2015). </w:t>
      </w:r>
      <w:r w:rsidRPr="0020276B">
        <w:rPr>
          <w:rFonts w:ascii="Tw Cen MT" w:hAnsi="Tw Cen MT"/>
          <w:i/>
          <w:iCs/>
          <w:noProof/>
          <w:sz w:val="22"/>
        </w:rPr>
        <w:t>Nursing Informatics: Scope and Standards of Practice</w:t>
      </w:r>
      <w:r w:rsidRPr="0020276B">
        <w:rPr>
          <w:rFonts w:ascii="Tw Cen MT" w:hAnsi="Tw Cen MT"/>
          <w:noProof/>
          <w:sz w:val="22"/>
        </w:rPr>
        <w:t xml:space="preserve"> (2nd ed.). Silver Spring, Maryland: Nursesbooks.org.</w:t>
      </w:r>
    </w:p>
    <w:p w14:paraId="61AAB78A"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Binks, R. (2017, October). District nursing in the digital area. </w:t>
      </w:r>
      <w:r w:rsidRPr="0020276B">
        <w:rPr>
          <w:rFonts w:ascii="Tw Cen MT" w:hAnsi="Tw Cen MT"/>
          <w:i/>
          <w:iCs/>
          <w:noProof/>
          <w:sz w:val="22"/>
        </w:rPr>
        <w:t>British Journal of Community Nursing, 22</w:t>
      </w:r>
      <w:r w:rsidRPr="0020276B">
        <w:rPr>
          <w:rFonts w:ascii="Tw Cen MT" w:hAnsi="Tw Cen MT"/>
          <w:noProof/>
          <w:sz w:val="22"/>
        </w:rPr>
        <w:t>(10), 478-483.</w:t>
      </w:r>
    </w:p>
    <w:p w14:paraId="6D501840"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Brown Cooper, S. (2015). OPINION LEADERS' PRRSPECTIVE OF THE BENEFITS AND BARRIERS IN TELEMEDIIN. </w:t>
      </w:r>
      <w:r w:rsidRPr="0020276B">
        <w:rPr>
          <w:rFonts w:ascii="Tw Cen MT" w:hAnsi="Tw Cen MT"/>
          <w:i/>
          <w:iCs/>
          <w:noProof/>
          <w:sz w:val="22"/>
        </w:rPr>
        <w:t>Quarterly Review of Distance Education, 16</w:t>
      </w:r>
      <w:r w:rsidRPr="0020276B">
        <w:rPr>
          <w:rFonts w:ascii="Tw Cen MT" w:hAnsi="Tw Cen MT"/>
          <w:noProof/>
          <w:sz w:val="22"/>
        </w:rPr>
        <w:t>(1), 25-54.</w:t>
      </w:r>
    </w:p>
    <w:p w14:paraId="34BF3767"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Eisenbeis, L. (2013). Workplace Health Center How the right onsite facility lowers cost, improves health management. </w:t>
      </w:r>
      <w:r w:rsidRPr="0020276B">
        <w:rPr>
          <w:rFonts w:ascii="Tw Cen MT" w:hAnsi="Tw Cen MT"/>
          <w:i/>
          <w:iCs/>
          <w:noProof/>
          <w:sz w:val="22"/>
        </w:rPr>
        <w:t>Smart Business Pittsburg</w:t>
      </w:r>
      <w:r w:rsidRPr="0020276B">
        <w:rPr>
          <w:rFonts w:ascii="Tw Cen MT" w:hAnsi="Tw Cen MT"/>
          <w:noProof/>
          <w:sz w:val="22"/>
        </w:rPr>
        <w:t>, p. 16.</w:t>
      </w:r>
    </w:p>
    <w:p w14:paraId="26BD307A"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Matney, S. A. (2015, October 30). Toward an Understanding of Wisdom in Nursing. </w:t>
      </w:r>
      <w:r w:rsidRPr="0020276B">
        <w:rPr>
          <w:rFonts w:ascii="Tw Cen MT" w:hAnsi="Tw Cen MT"/>
          <w:i/>
          <w:iCs/>
          <w:noProof/>
          <w:sz w:val="22"/>
        </w:rPr>
        <w:t>OJIN: The Online Journal of Issues in Nursing, 21</w:t>
      </w:r>
      <w:r w:rsidRPr="0020276B">
        <w:rPr>
          <w:rFonts w:ascii="Tw Cen MT" w:hAnsi="Tw Cen MT"/>
          <w:noProof/>
          <w:sz w:val="22"/>
        </w:rPr>
        <w:t>(2). doi:10.3912/OJIN.Vol21No01PPT02</w:t>
      </w:r>
    </w:p>
    <w:p w14:paraId="42F98BCA"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Maurer, R. (2017, November). Health Care's Staffing Crisis. </w:t>
      </w:r>
      <w:r w:rsidRPr="0020276B">
        <w:rPr>
          <w:rFonts w:ascii="Tw Cen MT" w:hAnsi="Tw Cen MT"/>
          <w:i/>
          <w:iCs/>
          <w:noProof/>
          <w:sz w:val="22"/>
        </w:rPr>
        <w:t>HR Magazine</w:t>
      </w:r>
      <w:r w:rsidRPr="0020276B">
        <w:rPr>
          <w:rFonts w:ascii="Tw Cen MT" w:hAnsi="Tw Cen MT"/>
          <w:noProof/>
          <w:sz w:val="22"/>
        </w:rPr>
        <w:t>, pp. 41-45.</w:t>
      </w:r>
    </w:p>
    <w:p w14:paraId="7A74AB8E"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McEwen, M. &amp;. (2014). </w:t>
      </w:r>
      <w:r w:rsidRPr="0020276B">
        <w:rPr>
          <w:rFonts w:ascii="Tw Cen MT" w:hAnsi="Tw Cen MT"/>
          <w:i/>
          <w:iCs/>
          <w:noProof/>
          <w:sz w:val="22"/>
        </w:rPr>
        <w:t>Theoretical Basis for Nursing</w:t>
      </w:r>
      <w:r w:rsidRPr="0020276B">
        <w:rPr>
          <w:rFonts w:ascii="Tw Cen MT" w:hAnsi="Tw Cen MT"/>
          <w:noProof/>
          <w:sz w:val="22"/>
        </w:rPr>
        <w:t xml:space="preserve"> (Fourth ed.). Philadelphia, PA: Lippincott Williams &amp; Wilkins.</w:t>
      </w:r>
    </w:p>
    <w:p w14:paraId="68E66B5B"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Project Insight. (2018, March 3). </w:t>
      </w:r>
      <w:r w:rsidRPr="0020276B">
        <w:rPr>
          <w:rFonts w:ascii="Tw Cen MT" w:hAnsi="Tw Cen MT"/>
          <w:i/>
          <w:iCs/>
          <w:noProof/>
          <w:sz w:val="22"/>
        </w:rPr>
        <w:t>5 Basic Phases of Project Management</w:t>
      </w:r>
      <w:r w:rsidRPr="0020276B">
        <w:rPr>
          <w:rFonts w:ascii="Tw Cen MT" w:hAnsi="Tw Cen MT"/>
          <w:noProof/>
          <w:sz w:val="22"/>
        </w:rPr>
        <w:t>. Retrieved from Project Insight: https://www.projectinsight.net/project-management-basics/basic-project-management-phases</w:t>
      </w:r>
    </w:p>
    <w:p w14:paraId="6AB17D2A"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Pyrillis, R. (2017, March-April). A Checkup on Value Based Health Care. </w:t>
      </w:r>
      <w:r w:rsidRPr="0020276B">
        <w:rPr>
          <w:rFonts w:ascii="Tw Cen MT" w:hAnsi="Tw Cen MT"/>
          <w:i/>
          <w:iCs/>
          <w:noProof/>
          <w:sz w:val="22"/>
        </w:rPr>
        <w:t>Workforce</w:t>
      </w:r>
      <w:r w:rsidRPr="0020276B">
        <w:rPr>
          <w:rFonts w:ascii="Tw Cen MT" w:hAnsi="Tw Cen MT"/>
          <w:noProof/>
          <w:sz w:val="22"/>
        </w:rPr>
        <w:t>, pp. 34-48. Retrieved from www.workforce.com</w:t>
      </w:r>
    </w:p>
    <w:p w14:paraId="361B9ECF"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i/>
          <w:iCs/>
          <w:noProof/>
          <w:sz w:val="22"/>
        </w:rPr>
        <w:t>Shop AliveCor</w:t>
      </w:r>
      <w:r w:rsidRPr="0020276B">
        <w:rPr>
          <w:rFonts w:ascii="Tw Cen MT" w:hAnsi="Tw Cen MT"/>
          <w:noProof/>
          <w:sz w:val="22"/>
        </w:rPr>
        <w:t>. (2017). Retrieved from Amazon: https://www.amazon.com/AliveCor/</w:t>
      </w:r>
    </w:p>
    <w:p w14:paraId="5CA829EA"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TereKhova, E. T. (2017, June). Telemedicine in primary care: Eho are the current users in British Columbia? </w:t>
      </w:r>
      <w:r w:rsidRPr="0020276B">
        <w:rPr>
          <w:rFonts w:ascii="Tw Cen MT" w:hAnsi="Tw Cen MT"/>
          <w:i/>
          <w:iCs/>
          <w:noProof/>
          <w:sz w:val="22"/>
        </w:rPr>
        <w:t>BC Medical Journal, 59</w:t>
      </w:r>
      <w:r w:rsidRPr="0020276B">
        <w:rPr>
          <w:rFonts w:ascii="Tw Cen MT" w:hAnsi="Tw Cen MT"/>
          <w:noProof/>
          <w:sz w:val="22"/>
        </w:rPr>
        <w:t>(5), 264-268. Retrieved from www.bcmj.org</w:t>
      </w:r>
    </w:p>
    <w:p w14:paraId="3A5CD11F"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Topaz, M. (2013). The Hitchhiker's Guide to nursing informatics theory: using the Data-Knowledge-Information-Wisdom framework to guide informatics research. </w:t>
      </w:r>
      <w:r w:rsidRPr="0020276B">
        <w:rPr>
          <w:rFonts w:ascii="Tw Cen MT" w:hAnsi="Tw Cen MT"/>
          <w:i/>
          <w:iCs/>
          <w:noProof/>
          <w:sz w:val="22"/>
        </w:rPr>
        <w:t>Online Journal of Nursing Informatics(OJNI), 17(3)</w:t>
      </w:r>
      <w:r w:rsidRPr="0020276B">
        <w:rPr>
          <w:rFonts w:ascii="Tw Cen MT" w:hAnsi="Tw Cen MT"/>
          <w:noProof/>
          <w:sz w:val="22"/>
        </w:rPr>
        <w:t>. Retrieved from http://ojni.org/issues?p=2852</w:t>
      </w:r>
    </w:p>
    <w:p w14:paraId="15CF674F" w14:textId="77777777" w:rsidR="0020276B" w:rsidRPr="0020276B" w:rsidRDefault="0020276B" w:rsidP="0020276B">
      <w:pPr>
        <w:pStyle w:val="Bibliography"/>
        <w:ind w:left="720" w:hanging="720"/>
        <w:rPr>
          <w:rFonts w:ascii="Tw Cen MT" w:hAnsi="Tw Cen MT"/>
          <w:noProof/>
          <w:sz w:val="22"/>
        </w:rPr>
      </w:pPr>
      <w:r w:rsidRPr="0020276B">
        <w:rPr>
          <w:rFonts w:ascii="Tw Cen MT" w:hAnsi="Tw Cen MT"/>
          <w:noProof/>
          <w:sz w:val="22"/>
        </w:rPr>
        <w:t xml:space="preserve">Yuen, J. T. (2015). Patient experience survey for spinal cord injury patients. </w:t>
      </w:r>
      <w:r w:rsidRPr="0020276B">
        <w:rPr>
          <w:rFonts w:ascii="Tw Cen MT" w:hAnsi="Tw Cen MT"/>
          <w:i/>
          <w:iCs/>
          <w:noProof/>
          <w:sz w:val="22"/>
        </w:rPr>
        <w:t>Spinal Cord, 53</w:t>
      </w:r>
      <w:r w:rsidRPr="0020276B">
        <w:rPr>
          <w:rFonts w:ascii="Tw Cen MT" w:hAnsi="Tw Cen MT"/>
          <w:noProof/>
          <w:sz w:val="22"/>
        </w:rPr>
        <w:t>(4), 320-323. doi:10.1038sc/2014.247</w:t>
      </w:r>
    </w:p>
    <w:p w14:paraId="74A1E16F" w14:textId="50BAFB65" w:rsidR="00AE3E37" w:rsidRPr="0020276B" w:rsidRDefault="0020276B" w:rsidP="0020276B">
      <w:pPr>
        <w:spacing w:before="39"/>
        <w:rPr>
          <w:rFonts w:ascii="Minion Pro"/>
          <w:b/>
        </w:rPr>
        <w:sectPr w:rsidR="00AE3E37" w:rsidRPr="0020276B">
          <w:type w:val="continuous"/>
          <w:pgSz w:w="11910" w:h="16840"/>
          <w:pgMar w:top="1740" w:right="600" w:bottom="840" w:left="620" w:header="720" w:footer="720" w:gutter="0"/>
          <w:cols w:space="720"/>
        </w:sectPr>
      </w:pPr>
      <w:r w:rsidRPr="0020276B">
        <w:fldChar w:fldCharType="end"/>
      </w:r>
    </w:p>
    <w:p w14:paraId="015243CF" w14:textId="77777777" w:rsidR="00AE3E37" w:rsidRPr="0020276B" w:rsidRDefault="00AE3E37">
      <w:pPr>
        <w:pStyle w:val="BodyText"/>
        <w:spacing w:before="3"/>
        <w:rPr>
          <w:rFonts w:ascii="Minion Pro"/>
          <w:sz w:val="22"/>
          <w:szCs w:val="22"/>
        </w:rPr>
      </w:pPr>
    </w:p>
    <w:sectPr w:rsidR="00AE3E37" w:rsidRPr="0020276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83E50" w14:textId="77777777" w:rsidR="00EA27A3" w:rsidRDefault="00EA27A3">
      <w:r>
        <w:separator/>
      </w:r>
    </w:p>
  </w:endnote>
  <w:endnote w:type="continuationSeparator" w:id="0">
    <w:p w14:paraId="190B679A" w14:textId="77777777" w:rsidR="00EA27A3" w:rsidRDefault="00EA2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527B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A2C8C5F" wp14:editId="0A11F1D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F90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551A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C8C5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6FF907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5551AE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D771945" wp14:editId="0D11624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663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696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7194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24663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5696C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EF51616" wp14:editId="4B5D3C5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D36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1E0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5161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34D360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41E02E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1D7A2" w14:textId="77777777" w:rsidR="00EA27A3" w:rsidRDefault="00EA27A3">
      <w:r>
        <w:separator/>
      </w:r>
    </w:p>
  </w:footnote>
  <w:footnote w:type="continuationSeparator" w:id="0">
    <w:p w14:paraId="424CE831" w14:textId="77777777" w:rsidR="00EA27A3" w:rsidRDefault="00EA2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76FA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C65680" wp14:editId="6CF1616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069E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6568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2E069E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331FA98" wp14:editId="2F6754C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39C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4FC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1FA9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A939CD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F4FCA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A6443BC"/>
    <w:multiLevelType w:val="hybridMultilevel"/>
    <w:tmpl w:val="6DACC348"/>
    <w:lvl w:ilvl="0" w:tplc="162E63AA">
      <w:start w:val="1"/>
      <w:numFmt w:val="bullet"/>
      <w:lvlText w:val="•"/>
      <w:lvlJc w:val="left"/>
      <w:pPr>
        <w:tabs>
          <w:tab w:val="num" w:pos="720"/>
        </w:tabs>
        <w:ind w:left="720" w:hanging="360"/>
      </w:pPr>
      <w:rPr>
        <w:rFonts w:ascii="Arial" w:hAnsi="Arial" w:hint="default"/>
      </w:rPr>
    </w:lvl>
    <w:lvl w:ilvl="1" w:tplc="F48C2012" w:tentative="1">
      <w:start w:val="1"/>
      <w:numFmt w:val="bullet"/>
      <w:lvlText w:val="•"/>
      <w:lvlJc w:val="left"/>
      <w:pPr>
        <w:tabs>
          <w:tab w:val="num" w:pos="1440"/>
        </w:tabs>
        <w:ind w:left="1440" w:hanging="360"/>
      </w:pPr>
      <w:rPr>
        <w:rFonts w:ascii="Arial" w:hAnsi="Arial" w:hint="default"/>
      </w:rPr>
    </w:lvl>
    <w:lvl w:ilvl="2" w:tplc="B8A41020" w:tentative="1">
      <w:start w:val="1"/>
      <w:numFmt w:val="bullet"/>
      <w:lvlText w:val="•"/>
      <w:lvlJc w:val="left"/>
      <w:pPr>
        <w:tabs>
          <w:tab w:val="num" w:pos="2160"/>
        </w:tabs>
        <w:ind w:left="2160" w:hanging="360"/>
      </w:pPr>
      <w:rPr>
        <w:rFonts w:ascii="Arial" w:hAnsi="Arial" w:hint="default"/>
      </w:rPr>
    </w:lvl>
    <w:lvl w:ilvl="3" w:tplc="DA660924" w:tentative="1">
      <w:start w:val="1"/>
      <w:numFmt w:val="bullet"/>
      <w:lvlText w:val="•"/>
      <w:lvlJc w:val="left"/>
      <w:pPr>
        <w:tabs>
          <w:tab w:val="num" w:pos="2880"/>
        </w:tabs>
        <w:ind w:left="2880" w:hanging="360"/>
      </w:pPr>
      <w:rPr>
        <w:rFonts w:ascii="Arial" w:hAnsi="Arial" w:hint="default"/>
      </w:rPr>
    </w:lvl>
    <w:lvl w:ilvl="4" w:tplc="2F1A58FC" w:tentative="1">
      <w:start w:val="1"/>
      <w:numFmt w:val="bullet"/>
      <w:lvlText w:val="•"/>
      <w:lvlJc w:val="left"/>
      <w:pPr>
        <w:tabs>
          <w:tab w:val="num" w:pos="3600"/>
        </w:tabs>
        <w:ind w:left="3600" w:hanging="360"/>
      </w:pPr>
      <w:rPr>
        <w:rFonts w:ascii="Arial" w:hAnsi="Arial" w:hint="default"/>
      </w:rPr>
    </w:lvl>
    <w:lvl w:ilvl="5" w:tplc="23C80C62" w:tentative="1">
      <w:start w:val="1"/>
      <w:numFmt w:val="bullet"/>
      <w:lvlText w:val="•"/>
      <w:lvlJc w:val="left"/>
      <w:pPr>
        <w:tabs>
          <w:tab w:val="num" w:pos="4320"/>
        </w:tabs>
        <w:ind w:left="4320" w:hanging="360"/>
      </w:pPr>
      <w:rPr>
        <w:rFonts w:ascii="Arial" w:hAnsi="Arial" w:hint="default"/>
      </w:rPr>
    </w:lvl>
    <w:lvl w:ilvl="6" w:tplc="7DB0641E" w:tentative="1">
      <w:start w:val="1"/>
      <w:numFmt w:val="bullet"/>
      <w:lvlText w:val="•"/>
      <w:lvlJc w:val="left"/>
      <w:pPr>
        <w:tabs>
          <w:tab w:val="num" w:pos="5040"/>
        </w:tabs>
        <w:ind w:left="5040" w:hanging="360"/>
      </w:pPr>
      <w:rPr>
        <w:rFonts w:ascii="Arial" w:hAnsi="Arial" w:hint="default"/>
      </w:rPr>
    </w:lvl>
    <w:lvl w:ilvl="7" w:tplc="3AA2C42E" w:tentative="1">
      <w:start w:val="1"/>
      <w:numFmt w:val="bullet"/>
      <w:lvlText w:val="•"/>
      <w:lvlJc w:val="left"/>
      <w:pPr>
        <w:tabs>
          <w:tab w:val="num" w:pos="5760"/>
        </w:tabs>
        <w:ind w:left="5760" w:hanging="360"/>
      </w:pPr>
      <w:rPr>
        <w:rFonts w:ascii="Arial" w:hAnsi="Arial" w:hint="default"/>
      </w:rPr>
    </w:lvl>
    <w:lvl w:ilvl="8" w:tplc="BB88C6A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A4399E"/>
    <w:multiLevelType w:val="hybridMultilevel"/>
    <w:tmpl w:val="64F479BA"/>
    <w:lvl w:ilvl="0" w:tplc="54ACE416">
      <w:start w:val="1"/>
      <w:numFmt w:val="bullet"/>
      <w:lvlText w:val="•"/>
      <w:lvlJc w:val="left"/>
      <w:pPr>
        <w:tabs>
          <w:tab w:val="num" w:pos="720"/>
        </w:tabs>
        <w:ind w:left="720" w:hanging="360"/>
      </w:pPr>
      <w:rPr>
        <w:rFonts w:ascii="Arial" w:hAnsi="Arial" w:hint="default"/>
      </w:rPr>
    </w:lvl>
    <w:lvl w:ilvl="1" w:tplc="BF54B380" w:tentative="1">
      <w:start w:val="1"/>
      <w:numFmt w:val="bullet"/>
      <w:lvlText w:val="•"/>
      <w:lvlJc w:val="left"/>
      <w:pPr>
        <w:tabs>
          <w:tab w:val="num" w:pos="1440"/>
        </w:tabs>
        <w:ind w:left="1440" w:hanging="360"/>
      </w:pPr>
      <w:rPr>
        <w:rFonts w:ascii="Arial" w:hAnsi="Arial" w:hint="default"/>
      </w:rPr>
    </w:lvl>
    <w:lvl w:ilvl="2" w:tplc="ADE48DE8" w:tentative="1">
      <w:start w:val="1"/>
      <w:numFmt w:val="bullet"/>
      <w:lvlText w:val="•"/>
      <w:lvlJc w:val="left"/>
      <w:pPr>
        <w:tabs>
          <w:tab w:val="num" w:pos="2160"/>
        </w:tabs>
        <w:ind w:left="2160" w:hanging="360"/>
      </w:pPr>
      <w:rPr>
        <w:rFonts w:ascii="Arial" w:hAnsi="Arial" w:hint="default"/>
      </w:rPr>
    </w:lvl>
    <w:lvl w:ilvl="3" w:tplc="6F1AAB96" w:tentative="1">
      <w:start w:val="1"/>
      <w:numFmt w:val="bullet"/>
      <w:lvlText w:val="•"/>
      <w:lvlJc w:val="left"/>
      <w:pPr>
        <w:tabs>
          <w:tab w:val="num" w:pos="2880"/>
        </w:tabs>
        <w:ind w:left="2880" w:hanging="360"/>
      </w:pPr>
      <w:rPr>
        <w:rFonts w:ascii="Arial" w:hAnsi="Arial" w:hint="default"/>
      </w:rPr>
    </w:lvl>
    <w:lvl w:ilvl="4" w:tplc="4AD65ADE" w:tentative="1">
      <w:start w:val="1"/>
      <w:numFmt w:val="bullet"/>
      <w:lvlText w:val="•"/>
      <w:lvlJc w:val="left"/>
      <w:pPr>
        <w:tabs>
          <w:tab w:val="num" w:pos="3600"/>
        </w:tabs>
        <w:ind w:left="3600" w:hanging="360"/>
      </w:pPr>
      <w:rPr>
        <w:rFonts w:ascii="Arial" w:hAnsi="Arial" w:hint="default"/>
      </w:rPr>
    </w:lvl>
    <w:lvl w:ilvl="5" w:tplc="57A006E4" w:tentative="1">
      <w:start w:val="1"/>
      <w:numFmt w:val="bullet"/>
      <w:lvlText w:val="•"/>
      <w:lvlJc w:val="left"/>
      <w:pPr>
        <w:tabs>
          <w:tab w:val="num" w:pos="4320"/>
        </w:tabs>
        <w:ind w:left="4320" w:hanging="360"/>
      </w:pPr>
      <w:rPr>
        <w:rFonts w:ascii="Arial" w:hAnsi="Arial" w:hint="default"/>
      </w:rPr>
    </w:lvl>
    <w:lvl w:ilvl="6" w:tplc="AC56E3FA" w:tentative="1">
      <w:start w:val="1"/>
      <w:numFmt w:val="bullet"/>
      <w:lvlText w:val="•"/>
      <w:lvlJc w:val="left"/>
      <w:pPr>
        <w:tabs>
          <w:tab w:val="num" w:pos="5040"/>
        </w:tabs>
        <w:ind w:left="5040" w:hanging="360"/>
      </w:pPr>
      <w:rPr>
        <w:rFonts w:ascii="Arial" w:hAnsi="Arial" w:hint="default"/>
      </w:rPr>
    </w:lvl>
    <w:lvl w:ilvl="7" w:tplc="8960CC44" w:tentative="1">
      <w:start w:val="1"/>
      <w:numFmt w:val="bullet"/>
      <w:lvlText w:val="•"/>
      <w:lvlJc w:val="left"/>
      <w:pPr>
        <w:tabs>
          <w:tab w:val="num" w:pos="5760"/>
        </w:tabs>
        <w:ind w:left="5760" w:hanging="360"/>
      </w:pPr>
      <w:rPr>
        <w:rFonts w:ascii="Arial" w:hAnsi="Arial" w:hint="default"/>
      </w:rPr>
    </w:lvl>
    <w:lvl w:ilvl="8" w:tplc="E14838E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6840"/>
    <w:rsid w:val="0009743E"/>
    <w:rsid w:val="000B7D2E"/>
    <w:rsid w:val="000E2911"/>
    <w:rsid w:val="00104D63"/>
    <w:rsid w:val="001263DF"/>
    <w:rsid w:val="0020276B"/>
    <w:rsid w:val="002319E5"/>
    <w:rsid w:val="002455EC"/>
    <w:rsid w:val="00292ED9"/>
    <w:rsid w:val="00404E5B"/>
    <w:rsid w:val="00414F7B"/>
    <w:rsid w:val="004355DC"/>
    <w:rsid w:val="004749B4"/>
    <w:rsid w:val="00494130"/>
    <w:rsid w:val="004F3523"/>
    <w:rsid w:val="005506BD"/>
    <w:rsid w:val="005973B9"/>
    <w:rsid w:val="005B3A56"/>
    <w:rsid w:val="005D224F"/>
    <w:rsid w:val="006060CE"/>
    <w:rsid w:val="00621500"/>
    <w:rsid w:val="0063497F"/>
    <w:rsid w:val="007464BB"/>
    <w:rsid w:val="007A4CD8"/>
    <w:rsid w:val="00873DF0"/>
    <w:rsid w:val="008756E6"/>
    <w:rsid w:val="008A08B6"/>
    <w:rsid w:val="009B2D44"/>
    <w:rsid w:val="00A07E82"/>
    <w:rsid w:val="00A9710C"/>
    <w:rsid w:val="00AE3E37"/>
    <w:rsid w:val="00B21A57"/>
    <w:rsid w:val="00BB7BF2"/>
    <w:rsid w:val="00C33602"/>
    <w:rsid w:val="00CD6F55"/>
    <w:rsid w:val="00DE3104"/>
    <w:rsid w:val="00E26B10"/>
    <w:rsid w:val="00EA27A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1315"/>
  <w15:docId w15:val="{20BE5030-2334-47B2-AF12-F97A2E98E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36840"/>
    <w:rPr>
      <w:color w:val="808080"/>
      <w:shd w:val="clear" w:color="auto" w:fill="E6E6E6"/>
    </w:rPr>
  </w:style>
  <w:style w:type="paragraph" w:styleId="Bibliography">
    <w:name w:val="Bibliography"/>
    <w:basedOn w:val="Normal"/>
    <w:next w:val="Normal"/>
    <w:uiPriority w:val="37"/>
    <w:unhideWhenUsed/>
    <w:rsid w:val="0020276B"/>
    <w:pPr>
      <w:widowControl/>
      <w:spacing w:after="200" w:line="276" w:lineRule="auto"/>
    </w:pPr>
    <w:rPr>
      <w:rFonts w:ascii="Times New Roman" w:eastAsiaTheme="minorHAnsi" w:hAnsi="Times New Roman"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9399">
      <w:bodyDiv w:val="1"/>
      <w:marLeft w:val="0"/>
      <w:marRight w:val="0"/>
      <w:marTop w:val="0"/>
      <w:marBottom w:val="0"/>
      <w:divBdr>
        <w:top w:val="none" w:sz="0" w:space="0" w:color="auto"/>
        <w:left w:val="none" w:sz="0" w:space="0" w:color="auto"/>
        <w:bottom w:val="none" w:sz="0" w:space="0" w:color="auto"/>
        <w:right w:val="none" w:sz="0" w:space="0" w:color="auto"/>
      </w:divBdr>
      <w:divsChild>
        <w:div w:id="690034914">
          <w:marLeft w:val="720"/>
          <w:marRight w:val="0"/>
          <w:marTop w:val="240"/>
          <w:marBottom w:val="0"/>
          <w:divBdr>
            <w:top w:val="none" w:sz="0" w:space="0" w:color="auto"/>
            <w:left w:val="none" w:sz="0" w:space="0" w:color="auto"/>
            <w:bottom w:val="none" w:sz="0" w:space="0" w:color="auto"/>
            <w:right w:val="none" w:sz="0" w:space="0" w:color="auto"/>
          </w:divBdr>
        </w:div>
        <w:div w:id="1339694097">
          <w:marLeft w:val="720"/>
          <w:marRight w:val="0"/>
          <w:marTop w:val="240"/>
          <w:marBottom w:val="0"/>
          <w:divBdr>
            <w:top w:val="none" w:sz="0" w:space="0" w:color="auto"/>
            <w:left w:val="none" w:sz="0" w:space="0" w:color="auto"/>
            <w:bottom w:val="none" w:sz="0" w:space="0" w:color="auto"/>
            <w:right w:val="none" w:sz="0" w:space="0" w:color="auto"/>
          </w:divBdr>
        </w:div>
        <w:div w:id="733699032">
          <w:marLeft w:val="720"/>
          <w:marRight w:val="0"/>
          <w:marTop w:val="240"/>
          <w:marBottom w:val="0"/>
          <w:divBdr>
            <w:top w:val="none" w:sz="0" w:space="0" w:color="auto"/>
            <w:left w:val="none" w:sz="0" w:space="0" w:color="auto"/>
            <w:bottom w:val="none" w:sz="0" w:space="0" w:color="auto"/>
            <w:right w:val="none" w:sz="0" w:space="0" w:color="auto"/>
          </w:divBdr>
        </w:div>
      </w:divsChild>
    </w:div>
    <w:div w:id="391512844">
      <w:bodyDiv w:val="1"/>
      <w:marLeft w:val="0"/>
      <w:marRight w:val="0"/>
      <w:marTop w:val="0"/>
      <w:marBottom w:val="0"/>
      <w:divBdr>
        <w:top w:val="none" w:sz="0" w:space="0" w:color="auto"/>
        <w:left w:val="none" w:sz="0" w:space="0" w:color="auto"/>
        <w:bottom w:val="none" w:sz="0" w:space="0" w:color="auto"/>
        <w:right w:val="none" w:sz="0" w:space="0" w:color="auto"/>
      </w:divBdr>
      <w:divsChild>
        <w:div w:id="1646277096">
          <w:marLeft w:val="720"/>
          <w:marRight w:val="0"/>
          <w:marTop w:val="24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erryellis151@hot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Abo17</b:Tag>
    <b:SourceType>InternetSite</b:SourceType>
    <b:Guid>{41CB1F7F-287D-455F-AA82-E6B733ABC659}</b:Guid>
    <b:Title>About Telemedicine</b:Title>
    <b:Year>2017</b:Year>
    <b:InternetSiteTitle>American Telemedicine Association</b:InternetSiteTitle>
    <b:Month>January</b:Month>
    <b:Day>27</b:Day>
    <b:URL>http://www.americantelemed.org/about/about-telemedicine</b:URL>
    <b:RefOrder>5</b:RefOrder>
  </b:Source>
  <b:Source>
    <b:Tag>Eis13</b:Tag>
    <b:SourceType>ArticleInAPeriodical</b:SourceType>
    <b:Guid>{95CD5724-6A8F-4C9E-A08C-BCAAFF7A3ADB}</b:Guid>
    <b:Title>Workplace Health Center  How the right onsite facility lowers cost, improves health management</b:Title>
    <b:Year>2013</b:Year>
    <b:Author>
      <b:Author>
        <b:NameList>
          <b:Person>
            <b:Last>Eisenbeis</b:Last>
            <b:First>L.</b:First>
          </b:Person>
        </b:NameList>
      </b:Author>
    </b:Author>
    <b:PeriodicalTitle>Smart Business Pittsburg</b:PeriodicalTitle>
    <b:Pages>16</b:Pages>
    <b:Publisher>Smart Business Network, Inc.</b:Publisher>
    <b:RefOrder>2</b:RefOrder>
  </b:Source>
  <b:Source>
    <b:Tag>Mau17</b:Tag>
    <b:SourceType>ArticleInAPeriodical</b:SourceType>
    <b:Guid>{52EF495C-948C-476F-829C-9621D60CA601}</b:Guid>
    <b:Author>
      <b:Author>
        <b:NameList>
          <b:Person>
            <b:Last>Maurer</b:Last>
            <b:First>R.</b:First>
          </b:Person>
        </b:NameList>
      </b:Author>
    </b:Author>
    <b:Title>Health Care's Staffing Crisis</b:Title>
    <b:PeriodicalTitle>HR Magazine</b:PeriodicalTitle>
    <b:Year>2017</b:Year>
    <b:Month>November</b:Month>
    <b:Pages>41-45</b:Pages>
    <b:RefOrder>6</b:RefOrder>
  </b:Source>
  <b:Source>
    <b:Tag>Pri17</b:Tag>
    <b:SourceType>ArticleInAPeriodical</b:SourceType>
    <b:Guid>{A0D45AB0-AB25-40EC-B971-453D2E61B0D4}</b:Guid>
    <b:Author>
      <b:Author>
        <b:NameList>
          <b:Person>
            <b:Last>Pyrillis</b:Last>
            <b:First>R.</b:First>
          </b:Person>
        </b:NameList>
      </b:Author>
    </b:Author>
    <b:Title>A Checkup on Value Based Health Care</b:Title>
    <b:PeriodicalTitle>Workforce</b:PeriodicalTitle>
    <b:Year>2017</b:Year>
    <b:Month>March-April</b:Month>
    <b:Pages>34-48</b:Pages>
    <b:URL>www.workforce.com</b:URL>
    <b:RefOrder>1</b:RefOrder>
  </b:Source>
  <b:Source>
    <b:Tag>Bin17</b:Tag>
    <b:SourceType>JournalArticle</b:SourceType>
    <b:Guid>{2DD92D33-27B9-4BFE-ADC1-7962D2652556}</b:Guid>
    <b:Author>
      <b:Author>
        <b:NameList>
          <b:Person>
            <b:Last>Binks</b:Last>
            <b:First>R.</b:First>
          </b:Person>
        </b:NameList>
      </b:Author>
    </b:Author>
    <b:Title>District nursing in the digital area</b:Title>
    <b:Year>2017</b:Year>
    <b:Month>October</b:Month>
    <b:Pages>478-483</b:Pages>
    <b:JournalName>British Journal of Community Nursing</b:JournalName>
    <b:Volume>22</b:Volume>
    <b:Issue>10</b:Issue>
    <b:RefOrder>7</b:RefOrder>
  </b:Source>
  <b:Source>
    <b:Tag>Bro</b:Tag>
    <b:SourceType>JournalArticle</b:SourceType>
    <b:Guid>{A96C779E-5040-4F9E-8B20-B841314E159D}</b:Guid>
    <b:Author>
      <b:Author>
        <b:NameList>
          <b:Person>
            <b:Last>Brown Cooper</b:Last>
            <b:First>S.</b:First>
          </b:Person>
        </b:NameList>
      </b:Author>
    </b:Author>
    <b:Title>OPINION LEADERS' PRRSPECTIVE OF THE BENEFITS AND BARRIERS IN TELEMEDIIN</b:Title>
    <b:JournalName>Quarterly Review of Distance Education</b:JournalName>
    <b:Year>2015</b:Year>
    <b:Pages>25-54</b:Pages>
    <b:Volume>16</b:Volume>
    <b:Issue>1</b:Issue>
    <b:RefOrder>3</b:RefOrder>
  </b:Source>
  <b:Source>
    <b:Tag>Ame15</b:Tag>
    <b:SourceType>Book</b:SourceType>
    <b:Guid>{DD53683B-8314-4006-88A8-E1BCD9BCC5B3}</b:Guid>
    <b:Author>
      <b:Author>
        <b:Corporate>American Nurses Association</b:Corporate>
      </b:Author>
    </b:Author>
    <b:Title>Nursing Informatics:  Scope and Standards of Practice</b:Title>
    <b:Year>2015</b:Year>
    <b:City>Silver Spring</b:City>
    <b:Publisher>Nursesbooks.org</b:Publisher>
    <b:StateProvince>Maryland</b:StateProvince>
    <b:Edition>2nd</b:Edition>
    <b:RefOrder>8</b:RefOrder>
  </b:Source>
  <b:Source>
    <b:Tag>Top131</b:Tag>
    <b:SourceType>Misc</b:SourceType>
    <b:Guid>{866551C3-CDB6-4279-AD5A-74EEB9DF4717}</b:Guid>
    <b:Author>
      <b:Author>
        <b:NameList>
          <b:Person>
            <b:Last>Topaz</b:Last>
            <b:First>M.</b:First>
          </b:Person>
        </b:NameList>
      </b:Author>
    </b:Author>
    <b:Title>The Hitchhiker's Guide to nursing informatics theory:  using the Data-Knowledge-Information-Wisdom framework to guide informatics research</b:Title>
    <b:Year>2013</b:Year>
    <b:PublicationTitle>Online Journal of Nursing Informatics(OJNI)</b:PublicationTitle>
    <b:Volume>17</b:Volume>
    <b:URL>http://ojni.org/issues?p=2852</b:URL>
    <b:Issue>3</b:Issue>
    <b:RefOrder>9</b:RefOrder>
  </b:Source>
  <b:Source>
    <b:Tag>Mat151</b:Tag>
    <b:SourceType>JournalArticle</b:SourceType>
    <b:Guid>{227EB3D3-5132-4754-B5E7-641476369EC0}</b:Guid>
    <b:Title>Toward an Understanding of Wisdom in Nursing</b:Title>
    <b:Year>2015</b:Year>
    <b:Month>October</b:Month>
    <b:Day>30</b:Day>
    <b:Author>
      <b:Author>
        <b:NameList>
          <b:Person>
            <b:Last>Matney</b:Last>
            <b:First>S.A.,</b:First>
            <b:Middle>Avant,K., Staggers, N.</b:Middle>
          </b:Person>
        </b:NameList>
      </b:Author>
    </b:Author>
    <b:JournalName>OJIN:  The Online Journal of Issues in Nursing</b:JournalName>
    <b:Volume>21</b:Volume>
    <b:Issue>2</b:Issue>
    <b:DOI>10.3912/OJIN.Vol21No01PPT02</b:DOI>
    <b:RefOrder>10</b:RefOrder>
  </b:Source>
  <b:Source>
    <b:Tag>McE14</b:Tag>
    <b:SourceType>Book</b:SourceType>
    <b:Guid>{89289751-6DED-4EA2-8D3E-E4B00B5615EA}</b:Guid>
    <b:Title>Theoretical Basis for Nursing</b:Title>
    <b:Year>2014</b:Year>
    <b:Author>
      <b:Author>
        <b:NameList>
          <b:Person>
            <b:Last>McEwen</b:Last>
            <b:First>M.</b:First>
            <b:Middle>&amp; Wills, E.M.</b:Middle>
          </b:Person>
        </b:NameList>
      </b:Author>
    </b:Author>
    <b:City>Philadelphia</b:City>
    <b:Publisher>Lippincott Williams &amp; Wilkins</b:Publisher>
    <b:StateProvince>PA</b:StateProvince>
    <b:Edition>Fourth</b:Edition>
    <b:RefOrder>11</b:RefOrder>
  </b:Source>
  <b:Source>
    <b:Tag>Sho17</b:Tag>
    <b:SourceType>InternetSite</b:SourceType>
    <b:Guid>{92D7159B-51FE-4294-B6DD-6A1D2CFCDEC7}</b:Guid>
    <b:Title>Shop AliveCor</b:Title>
    <b:Year>2017</b:Year>
    <b:InternetSiteTitle>Amazon</b:InternetSiteTitle>
    <b:URL>https://www.amazon.com/AliveCor/</b:URL>
    <b:RefOrder>12</b:RefOrder>
  </b:Source>
  <b:Source>
    <b:Tag>Yue15</b:Tag>
    <b:SourceType>JournalArticle</b:SourceType>
    <b:Guid>{D7D4CCFF-41CE-4B6E-AA71-03A23CAD5F93}</b:Guid>
    <b:Author>
      <b:Author>
        <b:NameList>
          <b:Person>
            <b:Last>Yuen</b:Last>
            <b:First>J.,</b:First>
            <b:Middle>Thiyagarajan, C.A. &amp; Belchi, M.</b:Middle>
          </b:Person>
        </b:NameList>
      </b:Author>
    </b:Author>
    <b:Title>Patient experience survey for spinal cord injury patients</b:Title>
    <b:JournalName>Spinal Cord</b:JournalName>
    <b:Year>2015</b:Year>
    <b:Pages>320-323</b:Pages>
    <b:Volume>53</b:Volume>
    <b:Issue>4</b:Issue>
    <b:DOI>10.1038sc/2014.247</b:DOI>
    <b:RefOrder>13</b:RefOrder>
  </b:Source>
  <b:Source>
    <b:Tag>Ter17</b:Tag>
    <b:SourceType>JournalArticle</b:SourceType>
    <b:Guid>{2961B62F-EC13-4582-8768-32E2517B9774}</b:Guid>
    <b:Author>
      <b:Author>
        <b:NameList>
          <b:Person>
            <b:Last>TereKhova</b:Last>
            <b:First>E.,</b:First>
            <b:Middle>Tabassi. H.R., Gabriel. P. &amp; Jafari, S.</b:Middle>
          </b:Person>
        </b:NameList>
      </b:Author>
    </b:Author>
    <b:Title>Telemedicine in primary care:  Eho are the current users in British Columbia?</b:Title>
    <b:JournalName>BC Medical Journal</b:JournalName>
    <b:Year>2017</b:Year>
    <b:Pages>264-268</b:Pages>
    <b:Month>June</b:Month>
    <b:Volume>59</b:Volume>
    <b:Issue>5</b:Issue>
    <b:URL>www.bcmj.org</b:URL>
    <b:RefOrder>14</b:RefOrder>
  </b:Source>
  <b:Source>
    <b:Tag>Pro18</b:Tag>
    <b:SourceType>InternetSite</b:SourceType>
    <b:Guid>{ED5697C5-6603-4667-8357-78D30EFBF80C}</b:Guid>
    <b:Author>
      <b:Author>
        <b:Corporate>Project Insight</b:Corporate>
      </b:Author>
    </b:Author>
    <b:Title>5 Basic Phases of Project Management</b:Title>
    <b:InternetSiteTitle>Project Insight</b:InternetSiteTitle>
    <b:Year>2018</b:Year>
    <b:Month>March</b:Month>
    <b:Day>3</b:Day>
    <b:URL>https://www.projectinsight.net/project-management-basics/basic-project-management-phases</b:URL>
    <b:RefOrder>4</b:RefOrder>
  </b:Source>
</b:Sources>
</file>

<file path=customXml/itemProps1.xml><?xml version="1.0" encoding="utf-8"?>
<ds:datastoreItem xmlns:ds="http://schemas.openxmlformats.org/officeDocument/2006/customXml" ds:itemID="{0564E3A6-3372-4F3D-AA58-9891B59A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Sherry Ellis</cp:lastModifiedBy>
  <cp:revision>3</cp:revision>
  <dcterms:created xsi:type="dcterms:W3CDTF">2018-04-06T03:22:00Z</dcterms:created>
  <dcterms:modified xsi:type="dcterms:W3CDTF">2018-04-08T13:46:00Z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