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F140C" w14:textId="280E0BDA" w:rsidR="00AE3E37" w:rsidRDefault="00BB7BF2" w:rsidP="00494130">
      <w:pPr>
        <w:pStyle w:val="Heading1"/>
        <w:spacing w:before="170"/>
        <w:ind w:left="0"/>
      </w:pPr>
      <w:r>
        <w:rPr>
          <w:color w:val="337AB7"/>
        </w:rPr>
        <w:t>Using Telemedicine to Improve Access to Care as Part of the Employee Medical Home:  A Feasibility Study</w:t>
      </w:r>
    </w:p>
    <w:p w14:paraId="035761A8" w14:textId="4A4A1317" w:rsidR="002319E5" w:rsidRDefault="00BB7BF2" w:rsidP="002319E5">
      <w:pPr>
        <w:pStyle w:val="BodyText"/>
        <w:spacing w:before="73" w:line="198" w:lineRule="exact"/>
        <w:ind w:left="100" w:right="5987"/>
        <w:rPr>
          <w:rFonts w:ascii="Arial"/>
        </w:rPr>
      </w:pPr>
      <w:r>
        <w:rPr>
          <w:rFonts w:ascii="Arial"/>
        </w:rPr>
        <w:t>Sherry C. Ellis, RN/BSN</w:t>
      </w:r>
    </w:p>
    <w:p w14:paraId="007F31AE" w14:textId="77777777" w:rsidR="00AE3E37" w:rsidRDefault="00AE3E37">
      <w:pPr>
        <w:pStyle w:val="BodyText"/>
        <w:rPr>
          <w:rFonts w:ascii="Arial"/>
          <w:sz w:val="20"/>
        </w:rPr>
      </w:pPr>
    </w:p>
    <w:p w14:paraId="2AA19988" w14:textId="77777777" w:rsidR="00AE3E37" w:rsidRDefault="00AE3E37">
      <w:pPr>
        <w:pStyle w:val="BodyText"/>
        <w:spacing w:before="3"/>
        <w:rPr>
          <w:rFonts w:ascii="Arial"/>
          <w:sz w:val="21"/>
        </w:rPr>
      </w:pPr>
    </w:p>
    <w:p w14:paraId="148BCE8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27EC109" w14:textId="2458EF12" w:rsidR="00AE3E37" w:rsidRDefault="00A9710C">
      <w:pPr>
        <w:pStyle w:val="Heading3"/>
        <w:spacing w:before="147"/>
        <w:jc w:val="both"/>
      </w:pPr>
      <w:r>
        <w:rPr>
          <w:color w:val="BF5A14"/>
        </w:rPr>
        <w:t>Abstract</w:t>
      </w:r>
      <w:r w:rsidR="00036840">
        <w:rPr>
          <w:color w:val="BF5A14"/>
        </w:rPr>
        <w:t>:</w:t>
      </w:r>
    </w:p>
    <w:p w14:paraId="2CB2DE4B" w14:textId="63A8205C" w:rsidR="002319E5" w:rsidRDefault="00A9710C" w:rsidP="002319E5">
      <w:pPr>
        <w:widowControl/>
        <w:contextualSpacing/>
        <w:rPr>
          <w:rFonts w:eastAsiaTheme="minorEastAsia" w:cstheme="minorBidi"/>
          <w:color w:val="000000" w:themeColor="text1"/>
          <w:kern w:val="24"/>
          <w:position w:val="1"/>
        </w:rPr>
      </w:pPr>
      <w:r w:rsidRPr="00036840">
        <w:t>Statement of the Problem:</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Employees of Tift Regional Health System located at Cook Medical Center and affiliated clinics in Adel, Georgia need better access to the care and services offered by the TRHS Employee Medical Home. The location of the EMH at the main campus in Tifton makes it difficult for the employees in Adel to take advantage of the free services offered by the EMH to the employee. </w:t>
      </w:r>
      <w:r w:rsidR="00104D63">
        <w:rPr>
          <w:rFonts w:eastAsiaTheme="minorEastAsia" w:cstheme="minorBidi"/>
          <w:bCs/>
          <w:color w:val="000000" w:themeColor="text1"/>
          <w:kern w:val="24"/>
          <w:position w:val="1"/>
        </w:rPr>
        <w:t>U</w:t>
      </w:r>
      <w:r w:rsidR="00BB7BF2" w:rsidRPr="00036840">
        <w:rPr>
          <w:rFonts w:eastAsiaTheme="minorEastAsia" w:cstheme="minorBidi"/>
          <w:bCs/>
          <w:color w:val="000000" w:themeColor="text1"/>
          <w:kern w:val="24"/>
          <w:position w:val="1"/>
        </w:rPr>
        <w:t>nderutilization of the EMH by the employee creates increases in claims data and thereby increases cost to the organization</w:t>
      </w:r>
      <w:r w:rsidR="00BB7BF2" w:rsidRPr="00036840">
        <w:t xml:space="preserve">.  </w:t>
      </w:r>
      <w:r w:rsidRPr="00036840">
        <w:t>Methodolog</w:t>
      </w:r>
      <w:r w:rsidR="008756E6" w:rsidRPr="00036840">
        <w:t>y &amp; Theoretical Orientation:</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A project management methodology was used to structure the </w:t>
      </w:r>
      <w:r w:rsidR="00104D63" w:rsidRPr="00036840">
        <w:rPr>
          <w:rFonts w:eastAsiaTheme="minorEastAsia" w:cstheme="minorBidi"/>
          <w:bCs/>
          <w:color w:val="000000" w:themeColor="text1"/>
          <w:kern w:val="24"/>
          <w:position w:val="1"/>
        </w:rPr>
        <w:t>project.</w:t>
      </w:r>
      <w:r w:rsidR="00104D63">
        <w:rPr>
          <w:rFonts w:eastAsiaTheme="minorEastAsia" w:cstheme="minorBidi"/>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A 13-question survey was administered to employees </w:t>
      </w:r>
      <w:r w:rsidR="00104D63">
        <w:rPr>
          <w:rFonts w:eastAsiaTheme="minorEastAsia" w:cstheme="minorBidi"/>
          <w:bCs/>
          <w:color w:val="000000" w:themeColor="text1"/>
          <w:kern w:val="24"/>
          <w:position w:val="1"/>
        </w:rPr>
        <w:t xml:space="preserve">at CMC </w:t>
      </w:r>
      <w:r w:rsidR="00BB7BF2" w:rsidRPr="00036840">
        <w:rPr>
          <w:rFonts w:eastAsiaTheme="minorEastAsia" w:cstheme="minorBidi"/>
          <w:bCs/>
          <w:color w:val="000000" w:themeColor="text1"/>
          <w:kern w:val="24"/>
          <w:position w:val="1"/>
        </w:rPr>
        <w:t>to examine willingness to use a telemedicine service</w:t>
      </w:r>
      <w:r w:rsidR="00BB7BF2" w:rsidRPr="00036840">
        <w:rPr>
          <w:rFonts w:eastAsiaTheme="minorEastAsia" w:cstheme="minorBidi"/>
          <w:bCs/>
          <w:color w:val="000000" w:themeColor="text1"/>
          <w:kern w:val="24"/>
          <w:position w:val="1"/>
        </w:rPr>
        <w:t>. A retrospective review of 2017 claims data was analyzed to</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project potential cost savings if utilization of the TRHS EMH is increased.</w:t>
      </w:r>
      <w:r w:rsidR="00BB7BF2" w:rsidRPr="00036840">
        <w:t xml:space="preserve">  </w:t>
      </w:r>
      <w:r w:rsidR="007A4CD8">
        <w:t xml:space="preserve">Theoretical Framework includes Orem’s Self-Care Deficit Theory and Blum’s DIKW theory. </w:t>
      </w:r>
      <w:r w:rsidRPr="00036840">
        <w:t xml:space="preserve">Findings: </w:t>
      </w:r>
      <w:r w:rsidR="00BB7BF2" w:rsidRPr="00036840">
        <w:rPr>
          <w:rFonts w:eastAsiaTheme="minorEastAsia" w:cstheme="minorBidi"/>
          <w:bCs/>
          <w:color w:val="000000" w:themeColor="text1"/>
          <w:kern w:val="24"/>
          <w:position w:val="1"/>
        </w:rPr>
        <w:t xml:space="preserve">The </w:t>
      </w:r>
      <w:r w:rsidR="002319E5" w:rsidRPr="00036840">
        <w:rPr>
          <w:rFonts w:eastAsiaTheme="minorEastAsia" w:cstheme="minorBidi"/>
          <w:bCs/>
          <w:color w:val="000000" w:themeColor="text1"/>
          <w:kern w:val="24"/>
          <w:position w:val="1"/>
        </w:rPr>
        <w:t xml:space="preserve">survey </w:t>
      </w:r>
      <w:r w:rsidR="00BB7BF2" w:rsidRPr="00036840">
        <w:rPr>
          <w:rFonts w:eastAsiaTheme="minorEastAsia" w:cstheme="minorBidi"/>
          <w:bCs/>
          <w:color w:val="000000" w:themeColor="text1"/>
          <w:kern w:val="24"/>
          <w:position w:val="1"/>
        </w:rPr>
        <w:t>results demonstrated that 67% of the 78 respondents are willing to use a telemedicine servic</w:t>
      </w:r>
      <w:r w:rsidR="002319E5" w:rsidRPr="00036840">
        <w:rPr>
          <w:rFonts w:eastAsiaTheme="minorEastAsia" w:cstheme="minorBidi"/>
          <w:bCs/>
          <w:color w:val="000000" w:themeColor="text1"/>
          <w:kern w:val="24"/>
          <w:position w:val="1"/>
        </w:rPr>
        <w:t xml:space="preserve">e.  The retrospective review of the claims data showed that only a 5% increase in utilization of the EMH is needed to project significant savings to the organization.  </w:t>
      </w:r>
      <w:r w:rsidR="00036840" w:rsidRPr="00036840">
        <w:rPr>
          <w:rFonts w:eastAsiaTheme="minorEastAsia" w:cstheme="minorBidi"/>
          <w:bCs/>
          <w:color w:val="000000" w:themeColor="text1"/>
          <w:kern w:val="24"/>
          <w:position w:val="1"/>
        </w:rPr>
        <w:t xml:space="preserve">The study is limited due to the small sample size and also due to the lack of data available on use of the Employee Medical Home at TRHS. </w:t>
      </w:r>
      <w:r w:rsidR="00BB7BF2" w:rsidRPr="00036840">
        <w:rPr>
          <w:rFonts w:eastAsiaTheme="minorEastAsia" w:cstheme="minorBidi"/>
          <w:bCs/>
          <w:color w:val="000000" w:themeColor="text1"/>
          <w:kern w:val="24"/>
          <w:position w:val="1"/>
        </w:rPr>
        <w:t xml:space="preserve"> </w:t>
      </w:r>
      <w:r w:rsidRPr="00036840">
        <w:t xml:space="preserve">Conclusion &amp; Significance: </w:t>
      </w:r>
      <w:r w:rsidR="002319E5" w:rsidRPr="00036840">
        <w:rPr>
          <w:rFonts w:eastAsiaTheme="minorEastAsia" w:cstheme="minorBidi"/>
          <w:color w:val="000000" w:themeColor="text1"/>
          <w:kern w:val="24"/>
          <w:position w:val="1"/>
        </w:rPr>
        <w:t xml:space="preserve">Feasibility of successful adoption of a telemedicine survey is positive based on the survey response.  Projected cost savings to the organization is </w:t>
      </w:r>
      <w:r w:rsidR="002319E5" w:rsidRPr="00036840">
        <w:rPr>
          <w:rFonts w:eastAsiaTheme="minorEastAsia" w:cstheme="minorBidi"/>
          <w:color w:val="000000" w:themeColor="text1"/>
          <w:kern w:val="24"/>
          <w:position w:val="1"/>
        </w:rPr>
        <w:t>significant and</w:t>
      </w:r>
      <w:r w:rsidR="002319E5" w:rsidRPr="00036840">
        <w:rPr>
          <w:rFonts w:asciiTheme="minorHAnsi" w:eastAsiaTheme="minorEastAsia" w:hAnsi="Calibri" w:cstheme="minorBidi"/>
          <w:color w:val="000000" w:themeColor="text1"/>
          <w:kern w:val="24"/>
          <w:position w:val="1"/>
        </w:rPr>
        <w:t xml:space="preserve"> </w:t>
      </w:r>
      <w:r w:rsidR="002319E5" w:rsidRPr="00036840">
        <w:rPr>
          <w:rFonts w:eastAsiaTheme="minorEastAsia" w:cstheme="minorBidi"/>
          <w:color w:val="000000" w:themeColor="text1"/>
          <w:kern w:val="24"/>
          <w:position w:val="1"/>
        </w:rPr>
        <w:t xml:space="preserve">supports expanding the EMH via telemedicine to </w:t>
      </w:r>
      <w:r w:rsidR="007A4CD8">
        <w:rPr>
          <w:rFonts w:eastAsiaTheme="minorEastAsia" w:cstheme="minorBidi"/>
          <w:color w:val="000000" w:themeColor="text1"/>
          <w:kern w:val="24"/>
          <w:position w:val="1"/>
        </w:rPr>
        <w:t xml:space="preserve">a </w:t>
      </w:r>
      <w:r w:rsidR="002319E5" w:rsidRPr="00036840">
        <w:rPr>
          <w:rFonts w:eastAsiaTheme="minorEastAsia" w:cstheme="minorBidi"/>
          <w:color w:val="000000" w:themeColor="text1"/>
          <w:kern w:val="24"/>
          <w:position w:val="1"/>
        </w:rPr>
        <w:t>remote TRHS location</w:t>
      </w:r>
      <w:r w:rsidR="007A4CD8">
        <w:rPr>
          <w:rFonts w:eastAsiaTheme="minorEastAsia" w:cstheme="minorBidi"/>
          <w:color w:val="000000" w:themeColor="text1"/>
          <w:kern w:val="24"/>
          <w:position w:val="1"/>
        </w:rPr>
        <w:t xml:space="preserve">. </w:t>
      </w:r>
    </w:p>
    <w:p w14:paraId="41505440" w14:textId="41BCFD7B" w:rsidR="00104D63" w:rsidRDefault="00104D63" w:rsidP="002319E5">
      <w:pPr>
        <w:widowControl/>
        <w:contextualSpacing/>
        <w:rPr>
          <w:rFonts w:eastAsia="Times New Roman" w:cs="Times New Roman"/>
          <w:color w:val="AD8F67"/>
        </w:rPr>
      </w:pPr>
    </w:p>
    <w:p w14:paraId="0A55368C" w14:textId="021A4AB1" w:rsidR="00104D63" w:rsidRDefault="00104D63" w:rsidP="002319E5">
      <w:pPr>
        <w:widowControl/>
        <w:contextualSpacing/>
        <w:rPr>
          <w:rFonts w:eastAsia="Times New Roman" w:cs="Times New Roman"/>
          <w:color w:val="AD8F67"/>
        </w:rPr>
      </w:pPr>
    </w:p>
    <w:p w14:paraId="45B013C2" w14:textId="47C2F45D" w:rsidR="00104D63" w:rsidRDefault="00104D63" w:rsidP="002319E5">
      <w:pPr>
        <w:widowControl/>
        <w:contextualSpacing/>
        <w:rPr>
          <w:rFonts w:eastAsia="Times New Roman" w:cs="Times New Roman"/>
          <w:color w:val="AD8F67"/>
        </w:rPr>
      </w:pPr>
      <w:r w:rsidRPr="00104D63">
        <w:rPr>
          <w:rFonts w:eastAsiaTheme="minorEastAsia" w:cstheme="minorBidi"/>
          <w:bCs/>
          <w:color w:val="000000" w:themeColor="text1"/>
          <w:kern w:val="24"/>
          <w:position w:val="1"/>
        </w:rPr>
        <w:drawing>
          <wp:inline distT="0" distB="0" distL="0" distR="0" wp14:anchorId="1D2569E1" wp14:editId="33941DE0">
            <wp:extent cx="3165475" cy="2374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74265"/>
                    </a:xfrm>
                    <a:prstGeom prst="rect">
                      <a:avLst/>
                    </a:prstGeom>
                  </pic:spPr>
                </pic:pic>
              </a:graphicData>
            </a:graphic>
          </wp:inline>
        </w:drawing>
      </w:r>
    </w:p>
    <w:p w14:paraId="16A71BD3" w14:textId="23E33117" w:rsidR="00104D63" w:rsidRDefault="00104D63" w:rsidP="002319E5">
      <w:pPr>
        <w:widowControl/>
        <w:contextualSpacing/>
        <w:rPr>
          <w:rFonts w:eastAsia="Times New Roman" w:cs="Times New Roman"/>
          <w:color w:val="AD8F67"/>
        </w:rPr>
      </w:pPr>
    </w:p>
    <w:p w14:paraId="5DDF051D" w14:textId="4FD4077F" w:rsidR="00104D63" w:rsidRDefault="00104D63" w:rsidP="002319E5">
      <w:pPr>
        <w:widowControl/>
        <w:contextualSpacing/>
        <w:rPr>
          <w:rFonts w:eastAsia="Times New Roman" w:cs="Times New Roman"/>
          <w:color w:val="AD8F67"/>
        </w:rPr>
      </w:pPr>
    </w:p>
    <w:p w14:paraId="14306470" w14:textId="1F89D33D" w:rsidR="00104D63" w:rsidRDefault="00104D63" w:rsidP="002319E5">
      <w:pPr>
        <w:widowControl/>
        <w:contextualSpacing/>
        <w:rPr>
          <w:rFonts w:eastAsia="Times New Roman" w:cs="Times New Roman"/>
          <w:color w:val="AD8F67"/>
        </w:rPr>
      </w:pPr>
    </w:p>
    <w:p w14:paraId="057987A2" w14:textId="77777777" w:rsidR="00104D63" w:rsidRPr="00036840" w:rsidRDefault="00104D63" w:rsidP="002319E5">
      <w:pPr>
        <w:widowControl/>
        <w:contextualSpacing/>
        <w:rPr>
          <w:rFonts w:eastAsia="Times New Roman" w:cs="Times New Roman"/>
          <w:color w:val="AD8F67"/>
        </w:rPr>
      </w:pPr>
    </w:p>
    <w:p w14:paraId="63C04A00" w14:textId="615ADF72" w:rsidR="002319E5" w:rsidRPr="00036840" w:rsidRDefault="002319E5" w:rsidP="002319E5">
      <w:pPr>
        <w:widowControl/>
        <w:contextualSpacing/>
        <w:rPr>
          <w:color w:val="BF5A14"/>
        </w:rPr>
      </w:pPr>
      <w:bookmarkStart w:id="0" w:name="_GoBack"/>
      <w:bookmarkEnd w:id="0"/>
    </w:p>
    <w:p w14:paraId="62E3CE58" w14:textId="38E246B1" w:rsidR="00AE3E37" w:rsidRDefault="00AE3E37" w:rsidP="00104D63">
      <w:pPr>
        <w:pStyle w:val="Heading3"/>
        <w:spacing w:before="74"/>
        <w:ind w:left="0"/>
        <w:rPr>
          <w:rFonts w:ascii="Tw Cen MT" w:hAnsi="Tw Cen MT"/>
          <w:color w:val="BF5A14"/>
          <w:sz w:val="18"/>
          <w:szCs w:val="18"/>
        </w:rPr>
      </w:pPr>
    </w:p>
    <w:p w14:paraId="1C59BF7D" w14:textId="77777777" w:rsidR="00104D63" w:rsidRPr="002319E5" w:rsidRDefault="00104D63">
      <w:pPr>
        <w:pStyle w:val="Heading3"/>
        <w:spacing w:before="74"/>
        <w:rPr>
          <w:rFonts w:ascii="Tw Cen MT" w:hAnsi="Tw Cen MT"/>
          <w:sz w:val="18"/>
          <w:szCs w:val="18"/>
        </w:rPr>
      </w:pPr>
    </w:p>
    <w:p w14:paraId="586FF8D5" w14:textId="7465C4F5" w:rsidR="00AE3E37" w:rsidRDefault="00AE3E37">
      <w:pPr>
        <w:pStyle w:val="BodyText"/>
        <w:spacing w:before="2"/>
        <w:rPr>
          <w:rFonts w:ascii="Arial"/>
          <w:b/>
          <w:sz w:val="16"/>
        </w:rPr>
      </w:pPr>
    </w:p>
    <w:p w14:paraId="1DB44E4A" w14:textId="74E40F91" w:rsidR="00AE3E37" w:rsidRPr="008756E6" w:rsidRDefault="005973B9" w:rsidP="002319E5">
      <w:pPr>
        <w:spacing w:line="204" w:lineRule="exact"/>
      </w:pPr>
      <w:r>
        <w:rPr>
          <w:rFonts w:ascii="Arial"/>
          <w:b/>
          <w:color w:val="BF5A14"/>
          <w:sz w:val="20"/>
        </w:rPr>
        <w:br/>
      </w:r>
    </w:p>
    <w:p w14:paraId="292C22E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D43F6B3" w14:textId="77777777" w:rsidR="00AE3E37" w:rsidRDefault="00AE3E37">
      <w:pPr>
        <w:pStyle w:val="BodyText"/>
        <w:rPr>
          <w:rFonts w:ascii="Calibri"/>
          <w:sz w:val="20"/>
        </w:rPr>
      </w:pPr>
    </w:p>
    <w:p w14:paraId="535BF16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AA1B91" wp14:editId="25F07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25BE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48644B" w14:textId="472F2EB4" w:rsidR="00AE3E37" w:rsidRDefault="008756E6" w:rsidP="00404E5B">
      <w:pPr>
        <w:spacing w:before="92"/>
        <w:ind w:right="4234"/>
        <w:rPr>
          <w:rFonts w:ascii="Arial"/>
        </w:rPr>
      </w:pPr>
      <w:r>
        <w:rPr>
          <w:noProof/>
        </w:rPr>
        <w:t xml:space="preserve">   </w:t>
      </w:r>
      <w:r w:rsidR="00036840">
        <w:rPr>
          <w:noProof/>
        </w:rPr>
        <w:drawing>
          <wp:inline distT="0" distB="0" distL="0" distR="0" wp14:anchorId="0A0550BD" wp14:editId="31CE804E">
            <wp:extent cx="457099" cy="3429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81485" cy="361194"/>
                    </a:xfrm>
                    <a:prstGeom prst="rect">
                      <a:avLst/>
                    </a:prstGeom>
                    <a:noFill/>
                    <a:ln>
                      <a:noFill/>
                    </a:ln>
                  </pic:spPr>
                </pic:pic>
              </a:graphicData>
            </a:graphic>
          </wp:inline>
        </w:drawing>
      </w:r>
      <w:r>
        <w:rPr>
          <w:noProof/>
        </w:rPr>
        <w:t xml:space="preserve"> </w:t>
      </w:r>
    </w:p>
    <w:p w14:paraId="393C585B" w14:textId="145C5964" w:rsidR="00AE3E37" w:rsidRPr="00036840" w:rsidRDefault="002319E5">
      <w:pPr>
        <w:spacing w:before="41" w:line="154" w:lineRule="exact"/>
        <w:ind w:left="213" w:right="231"/>
        <w:jc w:val="both"/>
        <w:rPr>
          <w:sz w:val="20"/>
          <w:szCs w:val="20"/>
        </w:rPr>
      </w:pPr>
      <w:r w:rsidRPr="00036840">
        <w:rPr>
          <w:sz w:val="20"/>
          <w:szCs w:val="20"/>
        </w:rPr>
        <w:t xml:space="preserve">Sherry Ellis currently serves as the Director of Clinical Informatics at Tift Regional Health System.  Sherry has 18 years as a practicing nurse at TRHS having worked in Critical Care, Nursing Administration </w:t>
      </w:r>
      <w:r w:rsidR="00036840" w:rsidRPr="00036840">
        <w:rPr>
          <w:sz w:val="20"/>
          <w:szCs w:val="20"/>
        </w:rPr>
        <w:t>and</w:t>
      </w:r>
      <w:r w:rsidRPr="00036840">
        <w:rPr>
          <w:sz w:val="20"/>
          <w:szCs w:val="20"/>
        </w:rPr>
        <w:t xml:space="preserve"> IT.  She supervises 7 nurse informaticists and oversees adoption of the EMR by clinical staff and physicians in acute and ambulatory settings.  </w:t>
      </w:r>
      <w:r w:rsidR="00036840" w:rsidRPr="00036840">
        <w:rPr>
          <w:sz w:val="20"/>
          <w:szCs w:val="20"/>
        </w:rPr>
        <w:t xml:space="preserve">Her staff recently received an award by Vizient in Georgia for collaborative alliance with nursing for improvement in bar code medication compliance across the organization.  Sherry is a candidate for her MSN in Informatics at Georgia Southwestern State University and is expected to graduate in May, 2018.  </w:t>
      </w:r>
    </w:p>
    <w:p w14:paraId="5B165CFF" w14:textId="32F1FA5D" w:rsidR="00AE3E37" w:rsidRDefault="00A9710C">
      <w:pPr>
        <w:spacing w:before="62"/>
        <w:ind w:left="4217" w:right="4235"/>
        <w:jc w:val="center"/>
        <w:rPr>
          <w:rFonts w:ascii="Arial"/>
          <w:sz w:val="14"/>
        </w:rPr>
      </w:pPr>
      <w:r>
        <w:rPr>
          <w:rFonts w:ascii="Arial"/>
          <w:sz w:val="14"/>
        </w:rPr>
        <w:t>Emai</w:t>
      </w:r>
      <w:r w:rsidR="002319E5">
        <w:rPr>
          <w:rFonts w:ascii="Arial"/>
          <w:sz w:val="14"/>
        </w:rPr>
        <w:t xml:space="preserve">l:  </w:t>
      </w:r>
      <w:hyperlink r:id="rId11" w:history="1">
        <w:r w:rsidR="00036840" w:rsidRPr="00997182">
          <w:rPr>
            <w:rStyle w:val="Hyperlink"/>
            <w:rFonts w:ascii="Arial"/>
            <w:sz w:val="14"/>
          </w:rPr>
          <w:t>sherry.ellis@tiftregional.com</w:t>
        </w:r>
      </w:hyperlink>
    </w:p>
    <w:p w14:paraId="58C0B98A" w14:textId="77777777" w:rsidR="00036840" w:rsidRDefault="00036840">
      <w:pPr>
        <w:spacing w:before="62"/>
        <w:ind w:left="4217" w:right="4235"/>
        <w:jc w:val="center"/>
        <w:rPr>
          <w:rFonts w:ascii="Arial"/>
          <w:sz w:val="14"/>
        </w:rPr>
      </w:pPr>
    </w:p>
    <w:p w14:paraId="03FA767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80A06F" wp14:editId="2F9798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4D7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AA03057" w14:textId="77777777" w:rsidR="00AE3E37" w:rsidRDefault="00AE3E37">
      <w:pPr>
        <w:pStyle w:val="BodyText"/>
        <w:rPr>
          <w:rFonts w:ascii="Arial"/>
          <w:sz w:val="20"/>
        </w:rPr>
      </w:pPr>
    </w:p>
    <w:p w14:paraId="2E6B4369" w14:textId="77777777" w:rsidR="00AE3E37" w:rsidRDefault="00AE3E37">
      <w:pPr>
        <w:pStyle w:val="BodyText"/>
        <w:rPr>
          <w:rFonts w:ascii="Arial"/>
          <w:sz w:val="20"/>
        </w:rPr>
      </w:pPr>
    </w:p>
    <w:p w14:paraId="6405E9C2" w14:textId="77777777" w:rsidR="00AE3E37" w:rsidRDefault="00AE3E37">
      <w:pPr>
        <w:pStyle w:val="BodyText"/>
        <w:spacing w:before="7"/>
        <w:rPr>
          <w:rFonts w:ascii="Arial"/>
          <w:sz w:val="29"/>
        </w:rPr>
      </w:pPr>
    </w:p>
    <w:p w14:paraId="74A1E16F" w14:textId="11B4E76A" w:rsidR="00AE3E37" w:rsidRPr="00036840" w:rsidRDefault="00AE3E37" w:rsidP="00036840">
      <w:pPr>
        <w:spacing w:before="39"/>
        <w:rPr>
          <w:rFonts w:ascii="Minion Pro"/>
          <w:b/>
          <w:sz w:val="20"/>
        </w:rPr>
        <w:sectPr w:rsidR="00AE3E37" w:rsidRPr="00036840">
          <w:type w:val="continuous"/>
          <w:pgSz w:w="11910" w:h="16840"/>
          <w:pgMar w:top="1740" w:right="600" w:bottom="840" w:left="620" w:header="720" w:footer="720" w:gutter="0"/>
          <w:cols w:space="720"/>
        </w:sectPr>
      </w:pPr>
    </w:p>
    <w:p w14:paraId="015243C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827E3" w14:textId="77777777" w:rsidR="0009743E" w:rsidRDefault="0009743E">
      <w:r>
        <w:separator/>
      </w:r>
    </w:p>
  </w:endnote>
  <w:endnote w:type="continuationSeparator" w:id="0">
    <w:p w14:paraId="429D0973" w14:textId="77777777" w:rsidR="0009743E" w:rsidRDefault="0009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527B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A2C8C5F" wp14:editId="0A11F1D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F90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551A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C8C5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6FF90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551A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D771945" wp14:editId="0D1162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663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696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7194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24663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696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EF51616" wp14:editId="4B5D3C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D36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1E0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5161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34D36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1E0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38A82" w14:textId="77777777" w:rsidR="0009743E" w:rsidRDefault="0009743E">
      <w:r>
        <w:separator/>
      </w:r>
    </w:p>
  </w:footnote>
  <w:footnote w:type="continuationSeparator" w:id="0">
    <w:p w14:paraId="0EFAB6DB" w14:textId="77777777" w:rsidR="0009743E" w:rsidRDefault="0009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76FA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C65680" wp14:editId="6CF1616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069E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6568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2E069E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31FA98" wp14:editId="2F6754C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9C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4FC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1FA9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A939C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4FC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6443BC"/>
    <w:multiLevelType w:val="hybridMultilevel"/>
    <w:tmpl w:val="6DACC348"/>
    <w:lvl w:ilvl="0" w:tplc="162E63AA">
      <w:start w:val="1"/>
      <w:numFmt w:val="bullet"/>
      <w:lvlText w:val="•"/>
      <w:lvlJc w:val="left"/>
      <w:pPr>
        <w:tabs>
          <w:tab w:val="num" w:pos="720"/>
        </w:tabs>
        <w:ind w:left="720" w:hanging="360"/>
      </w:pPr>
      <w:rPr>
        <w:rFonts w:ascii="Arial" w:hAnsi="Arial" w:hint="default"/>
      </w:rPr>
    </w:lvl>
    <w:lvl w:ilvl="1" w:tplc="F48C2012" w:tentative="1">
      <w:start w:val="1"/>
      <w:numFmt w:val="bullet"/>
      <w:lvlText w:val="•"/>
      <w:lvlJc w:val="left"/>
      <w:pPr>
        <w:tabs>
          <w:tab w:val="num" w:pos="1440"/>
        </w:tabs>
        <w:ind w:left="1440" w:hanging="360"/>
      </w:pPr>
      <w:rPr>
        <w:rFonts w:ascii="Arial" w:hAnsi="Arial" w:hint="default"/>
      </w:rPr>
    </w:lvl>
    <w:lvl w:ilvl="2" w:tplc="B8A41020" w:tentative="1">
      <w:start w:val="1"/>
      <w:numFmt w:val="bullet"/>
      <w:lvlText w:val="•"/>
      <w:lvlJc w:val="left"/>
      <w:pPr>
        <w:tabs>
          <w:tab w:val="num" w:pos="2160"/>
        </w:tabs>
        <w:ind w:left="2160" w:hanging="360"/>
      </w:pPr>
      <w:rPr>
        <w:rFonts w:ascii="Arial" w:hAnsi="Arial" w:hint="default"/>
      </w:rPr>
    </w:lvl>
    <w:lvl w:ilvl="3" w:tplc="DA660924" w:tentative="1">
      <w:start w:val="1"/>
      <w:numFmt w:val="bullet"/>
      <w:lvlText w:val="•"/>
      <w:lvlJc w:val="left"/>
      <w:pPr>
        <w:tabs>
          <w:tab w:val="num" w:pos="2880"/>
        </w:tabs>
        <w:ind w:left="2880" w:hanging="360"/>
      </w:pPr>
      <w:rPr>
        <w:rFonts w:ascii="Arial" w:hAnsi="Arial" w:hint="default"/>
      </w:rPr>
    </w:lvl>
    <w:lvl w:ilvl="4" w:tplc="2F1A58FC" w:tentative="1">
      <w:start w:val="1"/>
      <w:numFmt w:val="bullet"/>
      <w:lvlText w:val="•"/>
      <w:lvlJc w:val="left"/>
      <w:pPr>
        <w:tabs>
          <w:tab w:val="num" w:pos="3600"/>
        </w:tabs>
        <w:ind w:left="3600" w:hanging="360"/>
      </w:pPr>
      <w:rPr>
        <w:rFonts w:ascii="Arial" w:hAnsi="Arial" w:hint="default"/>
      </w:rPr>
    </w:lvl>
    <w:lvl w:ilvl="5" w:tplc="23C80C62" w:tentative="1">
      <w:start w:val="1"/>
      <w:numFmt w:val="bullet"/>
      <w:lvlText w:val="•"/>
      <w:lvlJc w:val="left"/>
      <w:pPr>
        <w:tabs>
          <w:tab w:val="num" w:pos="4320"/>
        </w:tabs>
        <w:ind w:left="4320" w:hanging="360"/>
      </w:pPr>
      <w:rPr>
        <w:rFonts w:ascii="Arial" w:hAnsi="Arial" w:hint="default"/>
      </w:rPr>
    </w:lvl>
    <w:lvl w:ilvl="6" w:tplc="7DB0641E" w:tentative="1">
      <w:start w:val="1"/>
      <w:numFmt w:val="bullet"/>
      <w:lvlText w:val="•"/>
      <w:lvlJc w:val="left"/>
      <w:pPr>
        <w:tabs>
          <w:tab w:val="num" w:pos="5040"/>
        </w:tabs>
        <w:ind w:left="5040" w:hanging="360"/>
      </w:pPr>
      <w:rPr>
        <w:rFonts w:ascii="Arial" w:hAnsi="Arial" w:hint="default"/>
      </w:rPr>
    </w:lvl>
    <w:lvl w:ilvl="7" w:tplc="3AA2C42E" w:tentative="1">
      <w:start w:val="1"/>
      <w:numFmt w:val="bullet"/>
      <w:lvlText w:val="•"/>
      <w:lvlJc w:val="left"/>
      <w:pPr>
        <w:tabs>
          <w:tab w:val="num" w:pos="5760"/>
        </w:tabs>
        <w:ind w:left="5760" w:hanging="360"/>
      </w:pPr>
      <w:rPr>
        <w:rFonts w:ascii="Arial" w:hAnsi="Arial" w:hint="default"/>
      </w:rPr>
    </w:lvl>
    <w:lvl w:ilvl="8" w:tplc="BB88C6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A4399E"/>
    <w:multiLevelType w:val="hybridMultilevel"/>
    <w:tmpl w:val="64F479BA"/>
    <w:lvl w:ilvl="0" w:tplc="54ACE416">
      <w:start w:val="1"/>
      <w:numFmt w:val="bullet"/>
      <w:lvlText w:val="•"/>
      <w:lvlJc w:val="left"/>
      <w:pPr>
        <w:tabs>
          <w:tab w:val="num" w:pos="720"/>
        </w:tabs>
        <w:ind w:left="720" w:hanging="360"/>
      </w:pPr>
      <w:rPr>
        <w:rFonts w:ascii="Arial" w:hAnsi="Arial" w:hint="default"/>
      </w:rPr>
    </w:lvl>
    <w:lvl w:ilvl="1" w:tplc="BF54B380" w:tentative="1">
      <w:start w:val="1"/>
      <w:numFmt w:val="bullet"/>
      <w:lvlText w:val="•"/>
      <w:lvlJc w:val="left"/>
      <w:pPr>
        <w:tabs>
          <w:tab w:val="num" w:pos="1440"/>
        </w:tabs>
        <w:ind w:left="1440" w:hanging="360"/>
      </w:pPr>
      <w:rPr>
        <w:rFonts w:ascii="Arial" w:hAnsi="Arial" w:hint="default"/>
      </w:rPr>
    </w:lvl>
    <w:lvl w:ilvl="2" w:tplc="ADE48DE8" w:tentative="1">
      <w:start w:val="1"/>
      <w:numFmt w:val="bullet"/>
      <w:lvlText w:val="•"/>
      <w:lvlJc w:val="left"/>
      <w:pPr>
        <w:tabs>
          <w:tab w:val="num" w:pos="2160"/>
        </w:tabs>
        <w:ind w:left="2160" w:hanging="360"/>
      </w:pPr>
      <w:rPr>
        <w:rFonts w:ascii="Arial" w:hAnsi="Arial" w:hint="default"/>
      </w:rPr>
    </w:lvl>
    <w:lvl w:ilvl="3" w:tplc="6F1AAB96" w:tentative="1">
      <w:start w:val="1"/>
      <w:numFmt w:val="bullet"/>
      <w:lvlText w:val="•"/>
      <w:lvlJc w:val="left"/>
      <w:pPr>
        <w:tabs>
          <w:tab w:val="num" w:pos="2880"/>
        </w:tabs>
        <w:ind w:left="2880" w:hanging="360"/>
      </w:pPr>
      <w:rPr>
        <w:rFonts w:ascii="Arial" w:hAnsi="Arial" w:hint="default"/>
      </w:rPr>
    </w:lvl>
    <w:lvl w:ilvl="4" w:tplc="4AD65ADE" w:tentative="1">
      <w:start w:val="1"/>
      <w:numFmt w:val="bullet"/>
      <w:lvlText w:val="•"/>
      <w:lvlJc w:val="left"/>
      <w:pPr>
        <w:tabs>
          <w:tab w:val="num" w:pos="3600"/>
        </w:tabs>
        <w:ind w:left="3600" w:hanging="360"/>
      </w:pPr>
      <w:rPr>
        <w:rFonts w:ascii="Arial" w:hAnsi="Arial" w:hint="default"/>
      </w:rPr>
    </w:lvl>
    <w:lvl w:ilvl="5" w:tplc="57A006E4" w:tentative="1">
      <w:start w:val="1"/>
      <w:numFmt w:val="bullet"/>
      <w:lvlText w:val="•"/>
      <w:lvlJc w:val="left"/>
      <w:pPr>
        <w:tabs>
          <w:tab w:val="num" w:pos="4320"/>
        </w:tabs>
        <w:ind w:left="4320" w:hanging="360"/>
      </w:pPr>
      <w:rPr>
        <w:rFonts w:ascii="Arial" w:hAnsi="Arial" w:hint="default"/>
      </w:rPr>
    </w:lvl>
    <w:lvl w:ilvl="6" w:tplc="AC56E3FA" w:tentative="1">
      <w:start w:val="1"/>
      <w:numFmt w:val="bullet"/>
      <w:lvlText w:val="•"/>
      <w:lvlJc w:val="left"/>
      <w:pPr>
        <w:tabs>
          <w:tab w:val="num" w:pos="5040"/>
        </w:tabs>
        <w:ind w:left="5040" w:hanging="360"/>
      </w:pPr>
      <w:rPr>
        <w:rFonts w:ascii="Arial" w:hAnsi="Arial" w:hint="default"/>
      </w:rPr>
    </w:lvl>
    <w:lvl w:ilvl="7" w:tplc="8960CC44" w:tentative="1">
      <w:start w:val="1"/>
      <w:numFmt w:val="bullet"/>
      <w:lvlText w:val="•"/>
      <w:lvlJc w:val="left"/>
      <w:pPr>
        <w:tabs>
          <w:tab w:val="num" w:pos="5760"/>
        </w:tabs>
        <w:ind w:left="5760" w:hanging="360"/>
      </w:pPr>
      <w:rPr>
        <w:rFonts w:ascii="Arial" w:hAnsi="Arial" w:hint="default"/>
      </w:rPr>
    </w:lvl>
    <w:lvl w:ilvl="8" w:tplc="E14838E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840"/>
    <w:rsid w:val="0009743E"/>
    <w:rsid w:val="000E2911"/>
    <w:rsid w:val="00104D63"/>
    <w:rsid w:val="001263DF"/>
    <w:rsid w:val="002319E5"/>
    <w:rsid w:val="002455EC"/>
    <w:rsid w:val="00292ED9"/>
    <w:rsid w:val="00404E5B"/>
    <w:rsid w:val="00414F7B"/>
    <w:rsid w:val="004355DC"/>
    <w:rsid w:val="004749B4"/>
    <w:rsid w:val="00494130"/>
    <w:rsid w:val="004F3523"/>
    <w:rsid w:val="005973B9"/>
    <w:rsid w:val="005B3A56"/>
    <w:rsid w:val="005D224F"/>
    <w:rsid w:val="006060CE"/>
    <w:rsid w:val="0063497F"/>
    <w:rsid w:val="007A4CD8"/>
    <w:rsid w:val="00873DF0"/>
    <w:rsid w:val="008756E6"/>
    <w:rsid w:val="008A08B6"/>
    <w:rsid w:val="009B2D44"/>
    <w:rsid w:val="00A07E82"/>
    <w:rsid w:val="00A9710C"/>
    <w:rsid w:val="00AE3E37"/>
    <w:rsid w:val="00B21A57"/>
    <w:rsid w:val="00BB7BF2"/>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1315"/>
  <w15:docId w15:val="{20BE5030-2334-47B2-AF12-F97A2E98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368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9399">
      <w:bodyDiv w:val="1"/>
      <w:marLeft w:val="0"/>
      <w:marRight w:val="0"/>
      <w:marTop w:val="0"/>
      <w:marBottom w:val="0"/>
      <w:divBdr>
        <w:top w:val="none" w:sz="0" w:space="0" w:color="auto"/>
        <w:left w:val="none" w:sz="0" w:space="0" w:color="auto"/>
        <w:bottom w:val="none" w:sz="0" w:space="0" w:color="auto"/>
        <w:right w:val="none" w:sz="0" w:space="0" w:color="auto"/>
      </w:divBdr>
      <w:divsChild>
        <w:div w:id="690034914">
          <w:marLeft w:val="720"/>
          <w:marRight w:val="0"/>
          <w:marTop w:val="240"/>
          <w:marBottom w:val="0"/>
          <w:divBdr>
            <w:top w:val="none" w:sz="0" w:space="0" w:color="auto"/>
            <w:left w:val="none" w:sz="0" w:space="0" w:color="auto"/>
            <w:bottom w:val="none" w:sz="0" w:space="0" w:color="auto"/>
            <w:right w:val="none" w:sz="0" w:space="0" w:color="auto"/>
          </w:divBdr>
        </w:div>
        <w:div w:id="1339694097">
          <w:marLeft w:val="720"/>
          <w:marRight w:val="0"/>
          <w:marTop w:val="240"/>
          <w:marBottom w:val="0"/>
          <w:divBdr>
            <w:top w:val="none" w:sz="0" w:space="0" w:color="auto"/>
            <w:left w:val="none" w:sz="0" w:space="0" w:color="auto"/>
            <w:bottom w:val="none" w:sz="0" w:space="0" w:color="auto"/>
            <w:right w:val="none" w:sz="0" w:space="0" w:color="auto"/>
          </w:divBdr>
        </w:div>
        <w:div w:id="733699032">
          <w:marLeft w:val="720"/>
          <w:marRight w:val="0"/>
          <w:marTop w:val="240"/>
          <w:marBottom w:val="0"/>
          <w:divBdr>
            <w:top w:val="none" w:sz="0" w:space="0" w:color="auto"/>
            <w:left w:val="none" w:sz="0" w:space="0" w:color="auto"/>
            <w:bottom w:val="none" w:sz="0" w:space="0" w:color="auto"/>
            <w:right w:val="none" w:sz="0" w:space="0" w:color="auto"/>
          </w:divBdr>
        </w:div>
      </w:divsChild>
    </w:div>
    <w:div w:id="391512844">
      <w:bodyDiv w:val="1"/>
      <w:marLeft w:val="0"/>
      <w:marRight w:val="0"/>
      <w:marTop w:val="0"/>
      <w:marBottom w:val="0"/>
      <w:divBdr>
        <w:top w:val="none" w:sz="0" w:space="0" w:color="auto"/>
        <w:left w:val="none" w:sz="0" w:space="0" w:color="auto"/>
        <w:bottom w:val="none" w:sz="0" w:space="0" w:color="auto"/>
        <w:right w:val="none" w:sz="0" w:space="0" w:color="auto"/>
      </w:divBdr>
      <w:divsChild>
        <w:div w:id="1646277096">
          <w:marLeft w:val="720"/>
          <w:marRight w:val="0"/>
          <w:marTop w:val="24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erry.ellis@tiftregiona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Sherry Ellis</cp:lastModifiedBy>
  <cp:revision>3</cp:revision>
  <dcterms:created xsi:type="dcterms:W3CDTF">2018-03-25T18:30:00Z</dcterms:created>
  <dcterms:modified xsi:type="dcterms:W3CDTF">2018-03-25T19:15:00Z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