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90D7DD" w14:textId="77777777" w:rsidR="005400D0" w:rsidRPr="005400D0" w:rsidRDefault="005400D0" w:rsidP="005400D0">
      <w:pPr>
        <w:rPr>
          <w:rFonts w:ascii="Minion Pro" w:eastAsia="Minion Pro" w:hAnsi="Minion Pro" w:cs="Minion Pro"/>
          <w:b/>
          <w:bCs/>
          <w:color w:val="337AB7"/>
          <w:sz w:val="36"/>
          <w:szCs w:val="36"/>
        </w:rPr>
      </w:pPr>
      <w:r w:rsidRPr="005400D0">
        <w:rPr>
          <w:rFonts w:ascii="Minion Pro" w:eastAsia="Minion Pro" w:hAnsi="Minion Pro" w:cs="Minion Pro"/>
          <w:b/>
          <w:bCs/>
          <w:color w:val="337AB7"/>
          <w:sz w:val="36"/>
          <w:szCs w:val="36"/>
        </w:rPr>
        <w:t xml:space="preserve">Facilitators and Barriers to Urologists’ Engagement with the eConsult Service at Dartmouth-Hitchcock </w:t>
      </w:r>
    </w:p>
    <w:p w14:paraId="426E68D2" w14:textId="6472F705" w:rsidR="005400D0" w:rsidRDefault="005400D0" w:rsidP="005973B9">
      <w:pPr>
        <w:pStyle w:val="BodyText"/>
        <w:spacing w:before="73" w:line="198" w:lineRule="exact"/>
        <w:ind w:left="100" w:right="5987"/>
        <w:rPr>
          <w:rFonts w:ascii="Arial"/>
        </w:rPr>
      </w:pPr>
      <w:r>
        <w:rPr>
          <w:rFonts w:ascii="Arial"/>
        </w:rPr>
        <w:t>John Anagnost, MS</w:t>
      </w:r>
      <w:r w:rsidR="005973B9">
        <w:rPr>
          <w:rFonts w:ascii="Arial"/>
        </w:rPr>
        <w:t xml:space="preserve">, </w:t>
      </w:r>
      <w:r>
        <w:rPr>
          <w:rFonts w:ascii="Arial"/>
        </w:rPr>
        <w:t>The Dartmouth Institute</w:t>
      </w:r>
      <w:r w:rsidR="005973B9">
        <w:rPr>
          <w:rFonts w:ascii="Arial"/>
        </w:rPr>
        <w:t xml:space="preserve">, USA </w:t>
      </w:r>
    </w:p>
    <w:p w14:paraId="677D7471" w14:textId="58CAFCA5" w:rsidR="005973B9" w:rsidRDefault="005400D0" w:rsidP="005973B9">
      <w:pPr>
        <w:pStyle w:val="BodyText"/>
        <w:spacing w:before="73" w:line="198" w:lineRule="exact"/>
        <w:ind w:left="100" w:right="5987"/>
        <w:rPr>
          <w:rFonts w:ascii="Arial"/>
        </w:rPr>
      </w:pPr>
      <w:r>
        <w:rPr>
          <w:rFonts w:ascii="Arial"/>
        </w:rPr>
        <w:t xml:space="preserve">Jacque </w:t>
      </w:r>
      <w:proofErr w:type="spellStart"/>
      <w:r>
        <w:rPr>
          <w:rFonts w:ascii="Arial"/>
        </w:rPr>
        <w:t>Kihwele</w:t>
      </w:r>
      <w:proofErr w:type="spellEnd"/>
      <w:r w:rsidR="005973B9">
        <w:rPr>
          <w:rFonts w:ascii="Arial"/>
        </w:rPr>
        <w:t xml:space="preserve">, </w:t>
      </w:r>
      <w:r>
        <w:rPr>
          <w:rFonts w:ascii="Arial"/>
        </w:rPr>
        <w:t>MD</w:t>
      </w:r>
      <w:r w:rsidR="005973B9">
        <w:rPr>
          <w:rFonts w:ascii="Arial"/>
        </w:rPr>
        <w:t xml:space="preserve"> </w:t>
      </w:r>
      <w:proofErr w:type="spellStart"/>
      <w:proofErr w:type="gramStart"/>
      <w:r>
        <w:rPr>
          <w:rFonts w:ascii="Arial"/>
        </w:rPr>
        <w:t>MPH</w:t>
      </w:r>
      <w:r w:rsidR="005973B9">
        <w:rPr>
          <w:rFonts w:ascii="Arial"/>
        </w:rPr>
        <w:t>,</w:t>
      </w:r>
      <w:r>
        <w:rPr>
          <w:rFonts w:ascii="Arial"/>
        </w:rPr>
        <w:t>The</w:t>
      </w:r>
      <w:proofErr w:type="spellEnd"/>
      <w:proofErr w:type="gramEnd"/>
      <w:r>
        <w:rPr>
          <w:rFonts w:ascii="Arial"/>
        </w:rPr>
        <w:t xml:space="preserve"> Dartmouth Institute</w:t>
      </w:r>
      <w:r w:rsidR="005973B9">
        <w:rPr>
          <w:rFonts w:ascii="Arial"/>
        </w:rPr>
        <w:t>, USA</w:t>
      </w:r>
    </w:p>
    <w:p w14:paraId="52E91427" w14:textId="77777777" w:rsidR="00AE3E37" w:rsidRDefault="00AE3E37">
      <w:pPr>
        <w:pStyle w:val="BodyText"/>
        <w:rPr>
          <w:rFonts w:ascii="Arial"/>
          <w:sz w:val="20"/>
        </w:rPr>
      </w:pPr>
    </w:p>
    <w:p w14:paraId="52B6F4BB" w14:textId="77777777" w:rsidR="00AE3E37" w:rsidRDefault="00AE3E37">
      <w:pPr>
        <w:pStyle w:val="BodyText"/>
        <w:spacing w:before="3"/>
        <w:rPr>
          <w:rFonts w:ascii="Arial"/>
          <w:sz w:val="21"/>
        </w:rPr>
      </w:pPr>
    </w:p>
    <w:p w14:paraId="4FD79E99"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DEC264E" w14:textId="77777777" w:rsidR="00AE3E37" w:rsidRDefault="00A9710C">
      <w:pPr>
        <w:pStyle w:val="Heading3"/>
        <w:spacing w:before="147"/>
        <w:jc w:val="both"/>
      </w:pPr>
      <w:r>
        <w:rPr>
          <w:color w:val="BF5A14"/>
        </w:rPr>
        <w:t>Abstract</w:t>
      </w:r>
      <w:r w:rsidR="00404E5B">
        <w:rPr>
          <w:color w:val="BF5A14"/>
        </w:rPr>
        <w:t xml:space="preserve"> (300 word limit)</w:t>
      </w:r>
    </w:p>
    <w:p w14:paraId="453FA70F" w14:textId="3A16B333" w:rsidR="00AE3E37" w:rsidRDefault="00B561B1">
      <w:pPr>
        <w:pStyle w:val="Heading3"/>
        <w:spacing w:before="74"/>
      </w:pPr>
      <w:r w:rsidRPr="00B561B1">
        <w:rPr>
          <w:rFonts w:ascii="Tw Cen MT" w:eastAsia="Tw Cen MT" w:hAnsi="Tw Cen MT" w:cs="Tw Cen MT"/>
          <w:bCs w:val="0"/>
          <w:sz w:val="18"/>
          <w:szCs w:val="18"/>
        </w:rPr>
        <w:t>Background</w:t>
      </w:r>
      <w:r w:rsidRPr="00B561B1">
        <w:rPr>
          <w:rFonts w:ascii="Tw Cen MT" w:eastAsia="Tw Cen MT" w:hAnsi="Tw Cen MT" w:cs="Tw Cen MT"/>
          <w:b w:val="0"/>
          <w:bCs w:val="0"/>
          <w:sz w:val="18"/>
          <w:szCs w:val="18"/>
        </w:rPr>
        <w:t>. Electronic consultations (</w:t>
      </w:r>
      <w:proofErr w:type="spellStart"/>
      <w:r w:rsidRPr="00B561B1">
        <w:rPr>
          <w:rFonts w:ascii="Tw Cen MT" w:eastAsia="Tw Cen MT" w:hAnsi="Tw Cen MT" w:cs="Tw Cen MT"/>
          <w:b w:val="0"/>
          <w:bCs w:val="0"/>
          <w:sz w:val="18"/>
          <w:szCs w:val="18"/>
        </w:rPr>
        <w:t>eConsults</w:t>
      </w:r>
      <w:proofErr w:type="spellEnd"/>
      <w:r w:rsidRPr="00B561B1">
        <w:rPr>
          <w:rFonts w:ascii="Tw Cen MT" w:eastAsia="Tw Cen MT" w:hAnsi="Tw Cen MT" w:cs="Tw Cen MT"/>
          <w:b w:val="0"/>
          <w:bCs w:val="0"/>
          <w:sz w:val="18"/>
          <w:szCs w:val="18"/>
        </w:rPr>
        <w:t xml:space="preserve">) allow primary care physicians to ask questions to specialists regarding the care management of individual patients through a shared electronic health record system. Although specialists’ perceptions and experiences with </w:t>
      </w:r>
      <w:proofErr w:type="spellStart"/>
      <w:r w:rsidRPr="00B561B1">
        <w:rPr>
          <w:rFonts w:ascii="Tw Cen MT" w:eastAsia="Tw Cen MT" w:hAnsi="Tw Cen MT" w:cs="Tw Cen MT"/>
          <w:b w:val="0"/>
          <w:bCs w:val="0"/>
          <w:sz w:val="18"/>
          <w:szCs w:val="18"/>
        </w:rPr>
        <w:t>eConsults</w:t>
      </w:r>
      <w:proofErr w:type="spellEnd"/>
      <w:r w:rsidRPr="00B561B1">
        <w:rPr>
          <w:rFonts w:ascii="Tw Cen MT" w:eastAsia="Tw Cen MT" w:hAnsi="Tw Cen MT" w:cs="Tw Cen MT"/>
          <w:b w:val="0"/>
          <w:bCs w:val="0"/>
          <w:sz w:val="18"/>
          <w:szCs w:val="18"/>
        </w:rPr>
        <w:t xml:space="preserve"> have been thoroughly examined in the Canadian and VA health systems, similar rigorous qualitative work has yet to be done in the context of academic medical centers in the US which are characterized by a balance between research, patient care, and teaching. </w:t>
      </w:r>
      <w:r w:rsidRPr="00B561B1">
        <w:rPr>
          <w:rFonts w:ascii="Tw Cen MT" w:eastAsia="Tw Cen MT" w:hAnsi="Tw Cen MT" w:cs="Tw Cen MT"/>
          <w:bCs w:val="0"/>
          <w:sz w:val="18"/>
          <w:szCs w:val="18"/>
        </w:rPr>
        <w:t>Methods</w:t>
      </w:r>
      <w:r w:rsidRPr="00B561B1">
        <w:rPr>
          <w:rFonts w:ascii="Tw Cen MT" w:eastAsia="Tw Cen MT" w:hAnsi="Tw Cen MT" w:cs="Tw Cen MT"/>
          <w:b w:val="0"/>
          <w:bCs w:val="0"/>
          <w:sz w:val="18"/>
          <w:szCs w:val="18"/>
        </w:rPr>
        <w:t xml:space="preserve">. Participants were recruited based on their level of engagement with </w:t>
      </w:r>
      <w:proofErr w:type="spellStart"/>
      <w:r w:rsidRPr="00B561B1">
        <w:rPr>
          <w:rFonts w:ascii="Tw Cen MT" w:eastAsia="Tw Cen MT" w:hAnsi="Tw Cen MT" w:cs="Tw Cen MT"/>
          <w:b w:val="0"/>
          <w:bCs w:val="0"/>
          <w:sz w:val="18"/>
          <w:szCs w:val="18"/>
        </w:rPr>
        <w:t>eConsults</w:t>
      </w:r>
      <w:proofErr w:type="spellEnd"/>
      <w:r w:rsidRPr="00B561B1">
        <w:rPr>
          <w:rFonts w:ascii="Tw Cen MT" w:eastAsia="Tw Cen MT" w:hAnsi="Tw Cen MT" w:cs="Tw Cen MT"/>
          <w:b w:val="0"/>
          <w:bCs w:val="0"/>
          <w:sz w:val="18"/>
          <w:szCs w:val="18"/>
        </w:rPr>
        <w:t xml:space="preserve"> at the AMC: established users (n=3), new users (n=2), and non-users (n=3). Qualitative semi-structured interviews were conducted from February 2018 to March 2018. Data analysis was focused on familiarization, coding, and theme development. Some codes were theory-driven based on previous literature while other codes emerged from the data specific to interviewees’ experiences. Thematic analysis followed a modified grounded-theory framework.  </w:t>
      </w:r>
      <w:r w:rsidRPr="00B561B1">
        <w:rPr>
          <w:rFonts w:ascii="Tw Cen MT" w:eastAsia="Tw Cen MT" w:hAnsi="Tw Cen MT" w:cs="Tw Cen MT"/>
          <w:bCs w:val="0"/>
          <w:sz w:val="18"/>
          <w:szCs w:val="18"/>
        </w:rPr>
        <w:t>Results</w:t>
      </w:r>
      <w:r w:rsidRPr="00B561B1">
        <w:rPr>
          <w:rFonts w:ascii="Tw Cen MT" w:eastAsia="Tw Cen MT" w:hAnsi="Tw Cen MT" w:cs="Tw Cen MT"/>
          <w:b w:val="0"/>
          <w:bCs w:val="0"/>
          <w:sz w:val="18"/>
          <w:szCs w:val="18"/>
        </w:rPr>
        <w:t xml:space="preserve">. Participants generally perceived </w:t>
      </w:r>
      <w:proofErr w:type="spellStart"/>
      <w:r w:rsidRPr="00B561B1">
        <w:rPr>
          <w:rFonts w:ascii="Tw Cen MT" w:eastAsia="Tw Cen MT" w:hAnsi="Tw Cen MT" w:cs="Tw Cen MT"/>
          <w:b w:val="0"/>
          <w:bCs w:val="0"/>
          <w:sz w:val="18"/>
          <w:szCs w:val="18"/>
        </w:rPr>
        <w:t>eConsults</w:t>
      </w:r>
      <w:proofErr w:type="spellEnd"/>
      <w:r w:rsidRPr="00B561B1">
        <w:rPr>
          <w:rFonts w:ascii="Tw Cen MT" w:eastAsia="Tw Cen MT" w:hAnsi="Tw Cen MT" w:cs="Tw Cen MT"/>
          <w:b w:val="0"/>
          <w:bCs w:val="0"/>
          <w:sz w:val="18"/>
          <w:szCs w:val="18"/>
        </w:rPr>
        <w:t xml:space="preserve"> outside of their sub-specialties to be less interesting and more time consuming. Similarly, most felt that </w:t>
      </w:r>
      <w:proofErr w:type="spellStart"/>
      <w:r w:rsidRPr="00B561B1">
        <w:rPr>
          <w:rFonts w:ascii="Tw Cen MT" w:eastAsia="Tw Cen MT" w:hAnsi="Tw Cen MT" w:cs="Tw Cen MT"/>
          <w:b w:val="0"/>
          <w:bCs w:val="0"/>
          <w:sz w:val="18"/>
          <w:szCs w:val="18"/>
        </w:rPr>
        <w:t>eConsults</w:t>
      </w:r>
      <w:proofErr w:type="spellEnd"/>
      <w:r w:rsidRPr="00B561B1">
        <w:rPr>
          <w:rFonts w:ascii="Tw Cen MT" w:eastAsia="Tw Cen MT" w:hAnsi="Tw Cen MT" w:cs="Tw Cen MT"/>
          <w:b w:val="0"/>
          <w:bCs w:val="0"/>
          <w:sz w:val="18"/>
          <w:szCs w:val="18"/>
        </w:rPr>
        <w:t xml:space="preserve"> were “extra” work, lacked a financial incentive, and required a similar amount of effort and time as face-to-face visits of comparable complexity. However, participants were interested in </w:t>
      </w:r>
      <w:proofErr w:type="spellStart"/>
      <w:r w:rsidRPr="00B561B1">
        <w:rPr>
          <w:rFonts w:ascii="Tw Cen MT" w:eastAsia="Tw Cen MT" w:hAnsi="Tw Cen MT" w:cs="Tw Cen MT"/>
          <w:b w:val="0"/>
          <w:bCs w:val="0"/>
          <w:sz w:val="18"/>
          <w:szCs w:val="18"/>
        </w:rPr>
        <w:t>eConsults</w:t>
      </w:r>
      <w:proofErr w:type="spellEnd"/>
      <w:r w:rsidRPr="00B561B1">
        <w:rPr>
          <w:rFonts w:ascii="Tw Cen MT" w:eastAsia="Tw Cen MT" w:hAnsi="Tw Cen MT" w:cs="Tw Cen MT"/>
          <w:b w:val="0"/>
          <w:bCs w:val="0"/>
          <w:sz w:val="18"/>
          <w:szCs w:val="18"/>
        </w:rPr>
        <w:t xml:space="preserve"> because they facilitated quick and effective education of primary care physicians- having a downstream effect of improving referral prep work, decreasing redundant questions, limiting unnecessary referrals, and reducing patient travel. Recommendations to improve engagement included integrating </w:t>
      </w:r>
      <w:proofErr w:type="spellStart"/>
      <w:r w:rsidRPr="00B561B1">
        <w:rPr>
          <w:rFonts w:ascii="Tw Cen MT" w:eastAsia="Tw Cen MT" w:hAnsi="Tw Cen MT" w:cs="Tw Cen MT"/>
          <w:b w:val="0"/>
          <w:bCs w:val="0"/>
          <w:sz w:val="18"/>
          <w:szCs w:val="18"/>
        </w:rPr>
        <w:t>eConsults</w:t>
      </w:r>
      <w:proofErr w:type="spellEnd"/>
      <w:r w:rsidRPr="00B561B1">
        <w:rPr>
          <w:rFonts w:ascii="Tw Cen MT" w:eastAsia="Tw Cen MT" w:hAnsi="Tw Cen MT" w:cs="Tw Cen MT"/>
          <w:b w:val="0"/>
          <w:bCs w:val="0"/>
          <w:sz w:val="18"/>
          <w:szCs w:val="18"/>
        </w:rPr>
        <w:t xml:space="preserve"> into normal workflow, increasing the number of providers doing </w:t>
      </w:r>
      <w:proofErr w:type="spellStart"/>
      <w:r w:rsidRPr="00B561B1">
        <w:rPr>
          <w:rFonts w:ascii="Tw Cen MT" w:eastAsia="Tw Cen MT" w:hAnsi="Tw Cen MT" w:cs="Tw Cen MT"/>
          <w:b w:val="0"/>
          <w:bCs w:val="0"/>
          <w:sz w:val="18"/>
          <w:szCs w:val="18"/>
        </w:rPr>
        <w:t>eConsults</w:t>
      </w:r>
      <w:proofErr w:type="spellEnd"/>
      <w:r w:rsidRPr="00B561B1">
        <w:rPr>
          <w:rFonts w:ascii="Tw Cen MT" w:eastAsia="Tw Cen MT" w:hAnsi="Tw Cen MT" w:cs="Tw Cen MT"/>
          <w:b w:val="0"/>
          <w:bCs w:val="0"/>
          <w:sz w:val="18"/>
          <w:szCs w:val="18"/>
        </w:rPr>
        <w:t xml:space="preserve">, distributing general </w:t>
      </w:r>
      <w:proofErr w:type="spellStart"/>
      <w:r w:rsidRPr="00B561B1">
        <w:rPr>
          <w:rFonts w:ascii="Tw Cen MT" w:eastAsia="Tw Cen MT" w:hAnsi="Tw Cen MT" w:cs="Tw Cen MT"/>
          <w:b w:val="0"/>
          <w:bCs w:val="0"/>
          <w:sz w:val="18"/>
          <w:szCs w:val="18"/>
        </w:rPr>
        <w:t>eConsults</w:t>
      </w:r>
      <w:proofErr w:type="spellEnd"/>
      <w:r w:rsidRPr="00B561B1">
        <w:rPr>
          <w:rFonts w:ascii="Tw Cen MT" w:eastAsia="Tw Cen MT" w:hAnsi="Tw Cen MT" w:cs="Tw Cen MT"/>
          <w:b w:val="0"/>
          <w:bCs w:val="0"/>
          <w:sz w:val="18"/>
          <w:szCs w:val="18"/>
        </w:rPr>
        <w:t xml:space="preserve"> among mid-level providers, and separating out paychecks for </w:t>
      </w:r>
      <w:proofErr w:type="spellStart"/>
      <w:r w:rsidRPr="00B561B1">
        <w:rPr>
          <w:rFonts w:ascii="Tw Cen MT" w:eastAsia="Tw Cen MT" w:hAnsi="Tw Cen MT" w:cs="Tw Cen MT"/>
          <w:b w:val="0"/>
          <w:bCs w:val="0"/>
          <w:sz w:val="18"/>
          <w:szCs w:val="18"/>
        </w:rPr>
        <w:t>eConsults</w:t>
      </w:r>
      <w:proofErr w:type="spellEnd"/>
      <w:r w:rsidRPr="00B561B1">
        <w:rPr>
          <w:rFonts w:ascii="Tw Cen MT" w:eastAsia="Tw Cen MT" w:hAnsi="Tw Cen MT" w:cs="Tw Cen MT"/>
          <w:b w:val="0"/>
          <w:bCs w:val="0"/>
          <w:sz w:val="18"/>
          <w:szCs w:val="18"/>
        </w:rPr>
        <w:t xml:space="preserve">.   </w:t>
      </w:r>
      <w:r w:rsidRPr="00B561B1">
        <w:rPr>
          <w:rFonts w:ascii="Tw Cen MT" w:eastAsia="Tw Cen MT" w:hAnsi="Tw Cen MT" w:cs="Tw Cen MT"/>
          <w:bCs w:val="0"/>
          <w:sz w:val="18"/>
          <w:szCs w:val="18"/>
        </w:rPr>
        <w:t>Conclusions</w:t>
      </w:r>
      <w:r w:rsidRPr="00B561B1">
        <w:rPr>
          <w:rFonts w:ascii="Tw Cen MT" w:eastAsia="Tw Cen MT" w:hAnsi="Tw Cen MT" w:cs="Tw Cen MT"/>
          <w:b w:val="0"/>
          <w:bCs w:val="0"/>
          <w:sz w:val="18"/>
          <w:szCs w:val="18"/>
        </w:rPr>
        <w:t xml:space="preserve">. Optimal ways to balance these different factors should be considered in future strategies to improve specialist engagement with </w:t>
      </w:r>
      <w:proofErr w:type="spellStart"/>
      <w:r w:rsidRPr="00B561B1">
        <w:rPr>
          <w:rFonts w:ascii="Tw Cen MT" w:eastAsia="Tw Cen MT" w:hAnsi="Tw Cen MT" w:cs="Tw Cen MT"/>
          <w:b w:val="0"/>
          <w:bCs w:val="0"/>
          <w:sz w:val="18"/>
          <w:szCs w:val="18"/>
        </w:rPr>
        <w:t>eConsults</w:t>
      </w:r>
      <w:proofErr w:type="spellEnd"/>
      <w:r w:rsidRPr="00B561B1">
        <w:rPr>
          <w:rFonts w:ascii="Tw Cen MT" w:eastAsia="Tw Cen MT" w:hAnsi="Tw Cen MT" w:cs="Tw Cen MT"/>
          <w:b w:val="0"/>
          <w:bCs w:val="0"/>
          <w:sz w:val="18"/>
          <w:szCs w:val="18"/>
        </w:rPr>
        <w:t xml:space="preserve">, especially in settings driven by productivity measures like RVUs. </w:t>
      </w:r>
      <w:r w:rsidR="00A9710C">
        <w:rPr>
          <w:b w:val="0"/>
        </w:rPr>
        <w:br w:type="column"/>
      </w:r>
      <w:r w:rsidR="00A9710C">
        <w:rPr>
          <w:color w:val="BF5A14"/>
        </w:rPr>
        <w:t>Image</w:t>
      </w:r>
    </w:p>
    <w:p w14:paraId="35F8BB73" w14:textId="366C3E7D" w:rsidR="00AE3E37" w:rsidRDefault="00B561B1">
      <w:pPr>
        <w:pStyle w:val="BodyText"/>
        <w:spacing w:before="2"/>
        <w:rPr>
          <w:rFonts w:ascii="Arial"/>
          <w:b/>
          <w:sz w:val="16"/>
        </w:rPr>
      </w:pPr>
      <w:r w:rsidRPr="00B561B1">
        <w:rPr>
          <w:rFonts w:ascii="Arial"/>
          <w:b/>
          <w:sz w:val="16"/>
        </w:rPr>
        <w:drawing>
          <wp:inline distT="0" distB="0" distL="0" distR="0" wp14:anchorId="71A62463" wp14:editId="6E8DF0F6">
            <wp:extent cx="3165475" cy="17805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1780540"/>
                    </a:xfrm>
                    <a:prstGeom prst="rect">
                      <a:avLst/>
                    </a:prstGeom>
                  </pic:spPr>
                </pic:pic>
              </a:graphicData>
            </a:graphic>
          </wp:inline>
        </w:drawing>
      </w:r>
    </w:p>
    <w:p w14:paraId="669072D8" w14:textId="7E4B2FA9" w:rsidR="005973B9" w:rsidRDefault="005973B9" w:rsidP="005400D0">
      <w:pPr>
        <w:spacing w:line="204" w:lineRule="exact"/>
        <w:rPr>
          <w:rFonts w:ascii="Calibri" w:hAnsi="Calibri"/>
        </w:rPr>
      </w:pPr>
      <w:r>
        <w:rPr>
          <w:rFonts w:ascii="Arial"/>
          <w:b/>
          <w:color w:val="BF5A14"/>
          <w:sz w:val="20"/>
        </w:rPr>
        <w:br/>
      </w:r>
    </w:p>
    <w:p w14:paraId="4E92B9C2" w14:textId="77777777" w:rsidR="00AE3E37" w:rsidRPr="008756E6" w:rsidRDefault="00AE3E37" w:rsidP="008756E6">
      <w:pPr>
        <w:tabs>
          <w:tab w:val="left" w:pos="384"/>
        </w:tabs>
        <w:ind w:right="117"/>
      </w:pPr>
    </w:p>
    <w:p w14:paraId="6DED39E4"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0D2C7AE" w14:textId="77777777" w:rsidR="00AE3E37" w:rsidRDefault="00AE3E37">
      <w:pPr>
        <w:pStyle w:val="BodyText"/>
        <w:rPr>
          <w:rFonts w:ascii="Calibri"/>
          <w:sz w:val="20"/>
        </w:rPr>
      </w:pPr>
    </w:p>
    <w:p w14:paraId="71432EC2"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38C1FE6" wp14:editId="51B0861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1B5F8E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965AC6F" w14:textId="777777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7C14B110" wp14:editId="40D9A00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0C94DDCB" w14:textId="0AB641CF" w:rsidR="00AE3E37" w:rsidRDefault="00B561B1">
      <w:pPr>
        <w:spacing w:before="41" w:line="154" w:lineRule="exact"/>
        <w:ind w:left="213" w:right="231"/>
        <w:jc w:val="both"/>
        <w:rPr>
          <w:rFonts w:ascii="Arial"/>
          <w:sz w:val="14"/>
        </w:rPr>
      </w:pPr>
      <w:r>
        <w:rPr>
          <w:rFonts w:ascii="Arial"/>
          <w:sz w:val="14"/>
        </w:rPr>
        <w:t>John Anagnost</w:t>
      </w:r>
      <w:r w:rsidR="00A9710C">
        <w:rPr>
          <w:rFonts w:ascii="Arial"/>
          <w:sz w:val="14"/>
        </w:rPr>
        <w:t xml:space="preserve"> has </w:t>
      </w:r>
      <w:r>
        <w:rPr>
          <w:rFonts w:ascii="Arial"/>
          <w:sz w:val="14"/>
        </w:rPr>
        <w:t>his</w:t>
      </w:r>
      <w:r w:rsidR="00A9710C">
        <w:rPr>
          <w:rFonts w:ascii="Arial"/>
          <w:sz w:val="14"/>
        </w:rPr>
        <w:t xml:space="preserve"> expertise in </w:t>
      </w:r>
      <w:r>
        <w:rPr>
          <w:rFonts w:ascii="Arial"/>
          <w:sz w:val="14"/>
        </w:rPr>
        <w:t>health services research, both qualitative and quantitative methods</w:t>
      </w:r>
      <w:r w:rsidR="00A9710C">
        <w:rPr>
          <w:rFonts w:ascii="Arial"/>
          <w:sz w:val="14"/>
        </w:rPr>
        <w:t xml:space="preserve">. </w:t>
      </w:r>
      <w:r>
        <w:rPr>
          <w:rFonts w:ascii="Arial"/>
          <w:sz w:val="14"/>
        </w:rPr>
        <w:t>He has conducted in-depth qualitative research about the eConsult program at Dartmouth-</w:t>
      </w:r>
      <w:r w:rsidR="005400D0">
        <w:rPr>
          <w:rFonts w:ascii="Arial"/>
          <w:sz w:val="14"/>
        </w:rPr>
        <w:t>Hitchcock</w:t>
      </w:r>
      <w:r>
        <w:rPr>
          <w:rFonts w:ascii="Arial"/>
          <w:sz w:val="14"/>
        </w:rPr>
        <w:t>, a telemedicine application that improves communication between specialists and primary care physicians</w:t>
      </w:r>
      <w:r w:rsidR="00A9710C">
        <w:rPr>
          <w:rFonts w:ascii="Arial"/>
          <w:sz w:val="14"/>
        </w:rPr>
        <w:t>.</w:t>
      </w:r>
      <w:r w:rsidR="000E2911">
        <w:rPr>
          <w:rFonts w:ascii="Arial"/>
          <w:sz w:val="14"/>
        </w:rPr>
        <w:t xml:space="preserve"> </w:t>
      </w:r>
      <w:r>
        <w:rPr>
          <w:rFonts w:ascii="Arial"/>
          <w:sz w:val="14"/>
        </w:rPr>
        <w:t xml:space="preserve">He is excited to share his research with other academics interested in telemedicine. </w:t>
      </w:r>
      <w:bookmarkStart w:id="0" w:name="_GoBack"/>
      <w:bookmarkEnd w:id="0"/>
    </w:p>
    <w:p w14:paraId="460D6274" w14:textId="58FFE57D" w:rsidR="00AE3E37" w:rsidRDefault="00A9710C">
      <w:pPr>
        <w:spacing w:before="62"/>
        <w:ind w:left="4217" w:right="4235"/>
        <w:jc w:val="center"/>
        <w:rPr>
          <w:rFonts w:ascii="Arial"/>
          <w:sz w:val="14"/>
        </w:rPr>
      </w:pPr>
      <w:r>
        <w:rPr>
          <w:rFonts w:ascii="Arial"/>
          <w:sz w:val="14"/>
        </w:rPr>
        <w:t xml:space="preserve">Email: </w:t>
      </w:r>
      <w:hyperlink r:id="rId11" w:history="1">
        <w:r w:rsidR="00B561B1" w:rsidRPr="00092359">
          <w:rPr>
            <w:rStyle w:val="Hyperlink"/>
            <w:rFonts w:ascii="Arial"/>
            <w:sz w:val="14"/>
          </w:rPr>
          <w:t>jhanagnost@gmail.com</w:t>
        </w:r>
      </w:hyperlink>
    </w:p>
    <w:p w14:paraId="0A86CE57"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77DE32FE" wp14:editId="2257286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150B3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0A69D0B" w14:textId="77777777" w:rsidR="00AE3E37" w:rsidRDefault="00AE3E37">
      <w:pPr>
        <w:pStyle w:val="BodyText"/>
        <w:rPr>
          <w:rFonts w:ascii="Arial"/>
          <w:sz w:val="20"/>
        </w:rPr>
      </w:pPr>
    </w:p>
    <w:p w14:paraId="42E3AD1A" w14:textId="77777777" w:rsidR="00AE3E37" w:rsidRDefault="00AE3E37">
      <w:pPr>
        <w:pStyle w:val="BodyText"/>
        <w:rPr>
          <w:rFonts w:ascii="Arial"/>
          <w:sz w:val="20"/>
        </w:rPr>
      </w:pPr>
    </w:p>
    <w:p w14:paraId="33748CE5" w14:textId="77777777" w:rsidR="00AE3E37" w:rsidRDefault="00AE3E37">
      <w:pPr>
        <w:pStyle w:val="BodyText"/>
        <w:spacing w:before="7"/>
        <w:rPr>
          <w:rFonts w:ascii="Arial"/>
          <w:sz w:val="29"/>
        </w:rPr>
      </w:pPr>
    </w:p>
    <w:p w14:paraId="194E0DDA" w14:textId="77777777" w:rsidR="00AE3E37" w:rsidRPr="00B21A57" w:rsidRDefault="00A9710C">
      <w:pPr>
        <w:spacing w:before="39"/>
        <w:ind w:left="100"/>
        <w:rPr>
          <w:rFonts w:ascii="Minion Pro"/>
          <w:b/>
          <w:sz w:val="20"/>
        </w:rPr>
      </w:pPr>
      <w:r w:rsidRPr="00B21A57">
        <w:rPr>
          <w:rFonts w:ascii="Minion Pro"/>
          <w:b/>
          <w:sz w:val="20"/>
        </w:rPr>
        <w:t>Notes/Comments:</w:t>
      </w:r>
    </w:p>
    <w:p w14:paraId="627623CF"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9489E34"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FDBB34" w14:textId="77777777" w:rsidR="00A76ED6" w:rsidRDefault="00A76ED6">
      <w:r>
        <w:separator/>
      </w:r>
    </w:p>
  </w:endnote>
  <w:endnote w:type="continuationSeparator" w:id="0">
    <w:p w14:paraId="73A3E881" w14:textId="77777777" w:rsidR="00A76ED6" w:rsidRDefault="00A76E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6A9989"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1C25F61" wp14:editId="78D1EAC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4120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C9A658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C25F61"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5B4120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C9A658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82976CB" wp14:editId="59BF05C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7927A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BF40E4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2976C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6D7927A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BF40E4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04CF6A4" wp14:editId="739E9B2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31222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4F88B6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4CF6A4"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7131222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4F88B6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108C9B" w14:textId="77777777" w:rsidR="00A76ED6" w:rsidRDefault="00A76ED6">
      <w:r>
        <w:separator/>
      </w:r>
    </w:p>
  </w:footnote>
  <w:footnote w:type="continuationSeparator" w:id="0">
    <w:p w14:paraId="7E6E7440" w14:textId="77777777" w:rsidR="00A76ED6" w:rsidRDefault="00A76E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FA9F4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5DFDAA1" wp14:editId="07D3405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B36CD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DFDAA1"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26B36CD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4E57E1A8" wp14:editId="1C78CFA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6FC9D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39F783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57E1A8"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086FC9D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39F783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55EC"/>
    <w:rsid w:val="00292ED9"/>
    <w:rsid w:val="002F5DD5"/>
    <w:rsid w:val="00404E5B"/>
    <w:rsid w:val="00414F7B"/>
    <w:rsid w:val="004355DC"/>
    <w:rsid w:val="004749B4"/>
    <w:rsid w:val="00494130"/>
    <w:rsid w:val="004F3523"/>
    <w:rsid w:val="005400D0"/>
    <w:rsid w:val="005973B9"/>
    <w:rsid w:val="005B3A56"/>
    <w:rsid w:val="006060CE"/>
    <w:rsid w:val="0063497F"/>
    <w:rsid w:val="00873DF0"/>
    <w:rsid w:val="008756E6"/>
    <w:rsid w:val="008A08B6"/>
    <w:rsid w:val="009B2D44"/>
    <w:rsid w:val="00A07E82"/>
    <w:rsid w:val="00A76ED6"/>
    <w:rsid w:val="00A9710C"/>
    <w:rsid w:val="00AE3E37"/>
    <w:rsid w:val="00B21A57"/>
    <w:rsid w:val="00B561B1"/>
    <w:rsid w:val="00C33602"/>
    <w:rsid w:val="00CD6F55"/>
    <w:rsid w:val="00D134C7"/>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4D69D4"/>
  <w15:docId w15:val="{E8CB5B97-1E16-4851-AB9B-6D78C77F2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B561B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hanagnost@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435</Words>
  <Characters>2481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john anagnost</cp:lastModifiedBy>
  <cp:revision>2</cp:revision>
  <dcterms:created xsi:type="dcterms:W3CDTF">2018-05-26T04:28:00Z</dcterms:created>
  <dcterms:modified xsi:type="dcterms:W3CDTF">2018-05-26T04:28:00Z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