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CD9" w:rsidRDefault="00812D47" w:rsidP="00AF4CD9">
      <w:pPr>
        <w:pStyle w:val="Heading1"/>
        <w:spacing w:before="170" w:line="240" w:lineRule="auto"/>
        <w:ind w:left="0"/>
        <w:jc w:val="center"/>
        <w:rPr>
          <w:color w:val="337AB7"/>
          <w:lang w:val="en-GB"/>
        </w:rPr>
      </w:pPr>
      <w:r w:rsidRPr="00812D47">
        <w:rPr>
          <w:color w:val="337AB7"/>
          <w:lang w:val="en-GB"/>
        </w:rPr>
        <w:t xml:space="preserve">Flow Forming Process and Heat Treatment Effects on </w:t>
      </w:r>
    </w:p>
    <w:p w:rsidR="00812D47" w:rsidRPr="00812D47" w:rsidRDefault="00812D47" w:rsidP="00AF4CD9">
      <w:pPr>
        <w:pStyle w:val="Heading1"/>
        <w:spacing w:before="170" w:line="240" w:lineRule="auto"/>
        <w:ind w:left="0"/>
        <w:jc w:val="center"/>
        <w:rPr>
          <w:color w:val="337AB7"/>
          <w:lang w:val="en-GB"/>
        </w:rPr>
      </w:pPr>
      <w:r w:rsidRPr="00812D47">
        <w:rPr>
          <w:color w:val="337AB7"/>
          <w:lang w:val="en-GB"/>
        </w:rPr>
        <w:t>2024 Aluminium Tubes</w:t>
      </w:r>
    </w:p>
    <w:p w:rsidR="00AE3E37" w:rsidRDefault="00AE3E37" w:rsidP="00494130">
      <w:pPr>
        <w:pStyle w:val="Heading1"/>
        <w:spacing w:before="170"/>
        <w:ind w:left="0"/>
      </w:pPr>
    </w:p>
    <w:p w:rsidR="00AE3E37" w:rsidRPr="00A764FA" w:rsidRDefault="00812D47" w:rsidP="00A764FA">
      <w:pPr>
        <w:pStyle w:val="BodyText"/>
        <w:spacing w:before="73" w:line="198" w:lineRule="exact"/>
        <w:ind w:left="100" w:right="5987"/>
        <w:jc w:val="both"/>
        <w:rPr>
          <w:rFonts w:ascii="Arial"/>
          <w:b/>
          <w:vertAlign w:val="superscript"/>
        </w:rPr>
      </w:pPr>
      <w:r w:rsidRPr="00812D47">
        <w:rPr>
          <w:rFonts w:ascii="Arial"/>
          <w:b/>
        </w:rPr>
        <w:t>Senai Yalcinkaya PhD</w:t>
      </w:r>
      <w:r w:rsidRPr="00812D47">
        <w:rPr>
          <w:rFonts w:ascii="Arial"/>
        </w:rPr>
        <w:t>,</w:t>
      </w:r>
      <w:r w:rsidR="00A764FA">
        <w:rPr>
          <w:rFonts w:ascii="Arial"/>
        </w:rPr>
        <w:t xml:space="preserve"> </w:t>
      </w:r>
      <w:r w:rsidRPr="00812D47">
        <w:rPr>
          <w:rFonts w:ascii="Arial"/>
        </w:rPr>
        <w:t>Department of Mechanical Engineering, Technology Faculty of Marmara University, Istanbul,TURKEY</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851168">
        <w:rPr>
          <w:color w:val="BF5A14"/>
        </w:rPr>
        <w:t xml:space="preserve"> </w:t>
      </w:r>
    </w:p>
    <w:p w:rsidR="00851168" w:rsidRPr="00851168" w:rsidRDefault="00DF1E89" w:rsidP="00851168">
      <w:pPr>
        <w:pStyle w:val="BodyText"/>
        <w:spacing w:before="90" w:line="280" w:lineRule="auto"/>
        <w:ind w:left="100"/>
        <w:jc w:val="both"/>
      </w:pPr>
      <w:r w:rsidRPr="00DF1E89">
        <w:rPr>
          <w:lang w:val="en-AU"/>
        </w:rPr>
        <w:t>Flow forming is a cold metal forming technique that enables the production of high precision thin-walled axisymmetric tubes or hollow parts with high strength and smooth surface. This technique is a continuous cold forming process and it reduces the wall thickness of the cylindrical shape starting part, stretching and extruding the workpiece with forming rollers. While wall thickness of the material reduces, the material flows plastically along a mandrel during the flow forming process. This technique is used in mainly aerospace, defence and energy industries in order to produce drive shafts, rocket motor cases, high precision hydraulic cylinders and hollow tubular parts. The aim of this study is to determine mechanical and microstructure properties of 2024 aluminium tubes which are produced by flow forming technique and make the comparison between flow formed 2024, full annealed (2024-O) and solution heat treated (2024-T6) temper aluminium tubes. 2024-O temper material was used before the flow forming process and this process which was performed on 2024-O tubing preform. The starting part which is named preform was annealed with 410 °C and hold at this temperature 2 hours in order to produce 2024-O temper according to AMS2772 standard. The solution heat treatment and artificially aging operation was applied to make 2024-T6 temper as per AMS2772. Moreover, %70 reduction rate was applied on the 2024-O temper material by flow forming and cold-working effects were analysed on the 2024 aluminium material. It was observed that grain orientations occurred, hardness and yield strength almost doubled but strain reduced after the flow forming operation.</w:t>
      </w:r>
      <w:r w:rsidR="00851168" w:rsidRPr="00851168">
        <w:rPr>
          <w:rFonts w:ascii="Times New Roman" w:eastAsiaTheme="minorEastAsia" w:hAnsi="Times New Roman" w:cs="Times New Roman"/>
          <w:kern w:val="2"/>
          <w:sz w:val="20"/>
          <w:szCs w:val="20"/>
          <w:lang w:eastAsia="zh-CN"/>
        </w:rPr>
        <w:t xml:space="preserve"> </w:t>
      </w:r>
      <w:r w:rsidR="00851168" w:rsidRPr="00851168">
        <w:t>All of these samples showed the ductile fracture mode for tensile fracture surfaces, plus they exhibited that 2024-O tube could be plastically deformed by applying more than 70% thickness reduction. However, the 2024 –T6 applied AA alloy could be more dissolved in order to reduce the secondary phase rate during the solution heat treatment.</w:t>
      </w:r>
    </w:p>
    <w:p w:rsidR="00DF1E89" w:rsidRPr="00DF1E89" w:rsidRDefault="00DF1E89" w:rsidP="00DF1E89">
      <w:pPr>
        <w:pStyle w:val="BodyText"/>
        <w:spacing w:before="90" w:line="280" w:lineRule="auto"/>
        <w:ind w:left="100"/>
        <w:jc w:val="both"/>
        <w:rPr>
          <w:lang w:val="en-AU"/>
        </w:rPr>
      </w:pPr>
    </w:p>
    <w:p w:rsidR="00DF1E89" w:rsidRDefault="00DF1E89" w:rsidP="003D63E2">
      <w:pPr>
        <w:pStyle w:val="BodyText"/>
        <w:spacing w:before="90" w:line="280" w:lineRule="auto"/>
        <w:jc w:val="both"/>
      </w:pPr>
    </w:p>
    <w:p w:rsidR="00AE3E37" w:rsidRDefault="00A9710C" w:rsidP="00126790">
      <w:pPr>
        <w:pStyle w:val="Heading3"/>
        <w:spacing w:before="74"/>
        <w:rPr>
          <w:color w:val="BF5A14"/>
        </w:rPr>
      </w:pPr>
      <w:r>
        <w:rPr>
          <w:b w:val="0"/>
        </w:rPr>
        <w:br w:type="column"/>
      </w:r>
      <w:r>
        <w:rPr>
          <w:color w:val="BF5A14"/>
        </w:rPr>
        <w:t>Image</w:t>
      </w:r>
    </w:p>
    <w:p w:rsidR="003E1B72" w:rsidRDefault="003E1B72" w:rsidP="00126790">
      <w:pPr>
        <w:pStyle w:val="Heading3"/>
        <w:spacing w:before="74"/>
      </w:pPr>
    </w:p>
    <w:p w:rsidR="00137A53" w:rsidRDefault="002D4E10">
      <w:pPr>
        <w:pStyle w:val="BodyText"/>
        <w:spacing w:before="2"/>
        <w:rPr>
          <w:rFonts w:ascii="Arial"/>
          <w:b/>
          <w:sz w:val="16"/>
        </w:rPr>
      </w:pPr>
      <w:r>
        <w:rPr>
          <w:rFonts w:ascii="Arial"/>
          <w:b/>
          <w:sz w:val="16"/>
        </w:rPr>
        <w:t xml:space="preserve"> </w:t>
      </w:r>
      <w:r>
        <w:rPr>
          <w:rFonts w:ascii="Arial"/>
          <w:b/>
          <w:noProof/>
          <w:sz w:val="16"/>
        </w:rPr>
        <w:drawing>
          <wp:inline distT="0" distB="0" distL="0" distR="0" wp14:anchorId="347FF50E">
            <wp:extent cx="807211" cy="194462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8437" cy="1971668"/>
                    </a:xfrm>
                    <a:prstGeom prst="rect">
                      <a:avLst/>
                    </a:prstGeom>
                    <a:noFill/>
                  </pic:spPr>
                </pic:pic>
              </a:graphicData>
            </a:graphic>
          </wp:inline>
        </w:drawing>
      </w:r>
      <w:r w:rsidR="003E1B72">
        <w:rPr>
          <w:rFonts w:ascii="Arial"/>
          <w:b/>
          <w:sz w:val="16"/>
        </w:rPr>
        <w:t xml:space="preserve">  </w:t>
      </w:r>
      <w:r w:rsidR="003E1B72">
        <w:rPr>
          <w:rFonts w:ascii="Arial"/>
          <w:b/>
          <w:noProof/>
          <w:sz w:val="16"/>
        </w:rPr>
        <w:drawing>
          <wp:inline distT="0" distB="0" distL="0" distR="0" wp14:anchorId="6E00F8FE">
            <wp:extent cx="2475230" cy="1944017"/>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0832" cy="1956271"/>
                    </a:xfrm>
                    <a:prstGeom prst="rect">
                      <a:avLst/>
                    </a:prstGeom>
                    <a:noFill/>
                  </pic:spPr>
                </pic:pic>
              </a:graphicData>
            </a:graphic>
          </wp:inline>
        </w:drawing>
      </w:r>
    </w:p>
    <w:p w:rsidR="00137A53" w:rsidRDefault="00137A53" w:rsidP="005973B9">
      <w:pPr>
        <w:spacing w:line="204" w:lineRule="exact"/>
        <w:rPr>
          <w:rFonts w:ascii="Arial"/>
          <w:b/>
          <w:color w:val="BF5A14"/>
          <w:sz w:val="20"/>
        </w:rPr>
      </w:pPr>
    </w:p>
    <w:p w:rsidR="00137A53" w:rsidRDefault="00137A53" w:rsidP="00137A53">
      <w:pPr>
        <w:numPr>
          <w:ilvl w:val="0"/>
          <w:numId w:val="4"/>
        </w:numPr>
        <w:spacing w:line="360" w:lineRule="auto"/>
        <w:contextualSpacing/>
        <w:jc w:val="both"/>
        <w:rPr>
          <w:rFonts w:ascii="Times New Roman" w:eastAsia="SimSun" w:hAnsi="Times New Roman" w:cs="Times New Roman"/>
          <w:kern w:val="2"/>
          <w:sz w:val="20"/>
          <w:szCs w:val="20"/>
          <w:lang w:eastAsia="zh-CN"/>
        </w:rPr>
      </w:pPr>
      <w:r w:rsidRPr="00137A53">
        <w:rPr>
          <w:rFonts w:ascii="Times New Roman" w:eastAsia="SimSun" w:hAnsi="Times New Roman" w:cs="Times New Roman"/>
          <w:kern w:val="2"/>
          <w:sz w:val="20"/>
          <w:szCs w:val="20"/>
          <w:lang w:eastAsia="zh-CN"/>
        </w:rPr>
        <w:tab/>
      </w:r>
      <w:r w:rsidRPr="00137A53">
        <w:rPr>
          <w:rFonts w:ascii="Times New Roman" w:eastAsia="SimSun" w:hAnsi="Times New Roman" w:cs="Times New Roman"/>
          <w:kern w:val="2"/>
          <w:sz w:val="20"/>
          <w:szCs w:val="20"/>
          <w:lang w:eastAsia="zh-CN"/>
        </w:rPr>
        <w:tab/>
      </w:r>
      <w:r w:rsidRPr="00137A53">
        <w:rPr>
          <w:rFonts w:ascii="Times New Roman" w:eastAsia="SimSun" w:hAnsi="Times New Roman" w:cs="Times New Roman"/>
          <w:kern w:val="2"/>
          <w:sz w:val="20"/>
          <w:szCs w:val="20"/>
          <w:lang w:eastAsia="zh-CN"/>
        </w:rPr>
        <w:tab/>
      </w:r>
      <w:r w:rsidRPr="00137A53">
        <w:rPr>
          <w:rFonts w:ascii="Times New Roman" w:eastAsia="SimSun" w:hAnsi="Times New Roman" w:cs="Times New Roman"/>
          <w:kern w:val="2"/>
          <w:sz w:val="20"/>
          <w:szCs w:val="20"/>
          <w:lang w:eastAsia="zh-CN"/>
        </w:rPr>
        <w:tab/>
        <w:t>(b)</w:t>
      </w:r>
    </w:p>
    <w:p w:rsidR="003E1B72" w:rsidRPr="00137A53" w:rsidRDefault="003E1B72" w:rsidP="003E1B72">
      <w:pPr>
        <w:spacing w:line="360" w:lineRule="auto"/>
        <w:ind w:left="1210"/>
        <w:contextualSpacing/>
        <w:jc w:val="both"/>
        <w:rPr>
          <w:rFonts w:ascii="Times New Roman" w:eastAsia="SimSun" w:hAnsi="Times New Roman" w:cs="Times New Roman"/>
          <w:kern w:val="2"/>
          <w:sz w:val="20"/>
          <w:szCs w:val="20"/>
          <w:lang w:eastAsia="zh-CN"/>
        </w:rPr>
      </w:pPr>
    </w:p>
    <w:tbl>
      <w:tblPr>
        <w:tblStyle w:val="TableGrid"/>
        <w:tblW w:w="0" w:type="auto"/>
        <w:tblLook w:val="04A0" w:firstRow="1" w:lastRow="0" w:firstColumn="1" w:lastColumn="0" w:noHBand="0" w:noVBand="1"/>
      </w:tblPr>
      <w:tblGrid>
        <w:gridCol w:w="1693"/>
        <w:gridCol w:w="1908"/>
        <w:gridCol w:w="1727"/>
      </w:tblGrid>
      <w:tr w:rsidR="00137A53" w:rsidRPr="00137A53" w:rsidTr="008D2165">
        <w:tc>
          <w:tcPr>
            <w:tcW w:w="2765" w:type="dxa"/>
          </w:tcPr>
          <w:p w:rsidR="00137A53" w:rsidRPr="00137A53" w:rsidRDefault="00137A53" w:rsidP="00137A53">
            <w:pPr>
              <w:jc w:val="center"/>
              <w:rPr>
                <w:rFonts w:asciiTheme="minorHAnsi" w:eastAsia="SimSun" w:hAnsiTheme="minorHAnsi" w:cstheme="minorHAnsi"/>
                <w:sz w:val="16"/>
                <w:szCs w:val="16"/>
              </w:rPr>
            </w:pPr>
            <w:r w:rsidRPr="00137A53">
              <w:rPr>
                <w:rFonts w:asciiTheme="minorHAnsi" w:eastAsia="SimSun" w:hAnsiTheme="minorHAnsi" w:cstheme="minorHAnsi"/>
                <w:color w:val="000000"/>
                <w:kern w:val="24"/>
                <w:sz w:val="16"/>
                <w:szCs w:val="16"/>
              </w:rPr>
              <w:t>S</w:t>
            </w:r>
            <w:r w:rsidRPr="00137A53">
              <w:rPr>
                <w:rFonts w:asciiTheme="minorHAnsi" w:eastAsia="SimSun" w:hAnsiTheme="minorHAnsi" w:cstheme="minorHAnsi"/>
                <w:color w:val="000000"/>
                <w:kern w:val="24"/>
                <w:position w:val="-9"/>
                <w:sz w:val="16"/>
                <w:szCs w:val="16"/>
                <w:vertAlign w:val="subscript"/>
              </w:rPr>
              <w:t xml:space="preserve">O </w:t>
            </w:r>
            <w:r w:rsidRPr="00137A53">
              <w:rPr>
                <w:rFonts w:asciiTheme="minorHAnsi" w:eastAsia="SimSun" w:hAnsiTheme="minorHAnsi" w:cstheme="minorHAnsi"/>
                <w:sz w:val="16"/>
                <w:szCs w:val="16"/>
              </w:rPr>
              <w:t>Starting wall thickness (mm)</w:t>
            </w:r>
          </w:p>
        </w:tc>
        <w:tc>
          <w:tcPr>
            <w:tcW w:w="2765" w:type="dxa"/>
          </w:tcPr>
          <w:p w:rsidR="00137A53" w:rsidRPr="00137A53" w:rsidRDefault="00137A53" w:rsidP="00137A53">
            <w:pPr>
              <w:jc w:val="center"/>
              <w:rPr>
                <w:rFonts w:asciiTheme="minorHAnsi" w:eastAsia="SimSun" w:hAnsiTheme="minorHAnsi" w:cstheme="minorHAnsi"/>
                <w:sz w:val="16"/>
                <w:szCs w:val="16"/>
              </w:rPr>
            </w:pPr>
            <w:r w:rsidRPr="00137A53">
              <w:rPr>
                <w:rFonts w:asciiTheme="minorHAnsi" w:eastAsia="SimSun" w:hAnsiTheme="minorHAnsi" w:cstheme="minorHAnsi"/>
                <w:kern w:val="24"/>
                <w:sz w:val="16"/>
                <w:szCs w:val="16"/>
              </w:rPr>
              <w:sym w:font="Symbol" w:char="F067"/>
            </w:r>
            <w:r w:rsidRPr="00137A53">
              <w:rPr>
                <w:rFonts w:asciiTheme="minorHAnsi" w:eastAsia="SimSun" w:hAnsiTheme="minorHAnsi" w:cstheme="minorHAnsi"/>
                <w:kern w:val="24"/>
                <w:sz w:val="16"/>
                <w:szCs w:val="16"/>
              </w:rPr>
              <w:t xml:space="preserve"> </w:t>
            </w:r>
            <w:r w:rsidRPr="00137A53">
              <w:rPr>
                <w:rFonts w:asciiTheme="minorHAnsi" w:eastAsia="SimSun" w:hAnsiTheme="minorHAnsi" w:cstheme="minorHAnsi"/>
                <w:sz w:val="16"/>
                <w:szCs w:val="16"/>
              </w:rPr>
              <w:t>Leading angle (degree,°)</w:t>
            </w:r>
          </w:p>
        </w:tc>
        <w:tc>
          <w:tcPr>
            <w:tcW w:w="2766" w:type="dxa"/>
          </w:tcPr>
          <w:p w:rsidR="00137A53" w:rsidRPr="00137A53" w:rsidRDefault="00137A53" w:rsidP="00137A53">
            <w:pPr>
              <w:jc w:val="center"/>
              <w:rPr>
                <w:rFonts w:asciiTheme="minorHAnsi" w:eastAsia="SimSun" w:hAnsiTheme="minorHAnsi" w:cstheme="minorHAnsi"/>
                <w:sz w:val="16"/>
                <w:szCs w:val="16"/>
              </w:rPr>
            </w:pPr>
            <w:r w:rsidRPr="00137A53">
              <w:rPr>
                <w:rFonts w:asciiTheme="minorHAnsi" w:eastAsia="SimSun" w:hAnsiTheme="minorHAnsi" w:cstheme="minorHAnsi"/>
                <w:color w:val="000000"/>
                <w:kern w:val="24"/>
                <w:sz w:val="16"/>
                <w:szCs w:val="16"/>
              </w:rPr>
              <w:t>F</w:t>
            </w:r>
            <w:r w:rsidRPr="00137A53">
              <w:rPr>
                <w:rFonts w:asciiTheme="minorHAnsi" w:eastAsia="SimSun" w:hAnsiTheme="minorHAnsi" w:cstheme="minorHAnsi"/>
                <w:color w:val="000000"/>
                <w:kern w:val="24"/>
                <w:position w:val="-9"/>
                <w:sz w:val="16"/>
                <w:szCs w:val="16"/>
                <w:vertAlign w:val="subscript"/>
              </w:rPr>
              <w:t xml:space="preserve">A </w:t>
            </w:r>
            <w:r w:rsidRPr="00137A53">
              <w:rPr>
                <w:rFonts w:asciiTheme="minorHAnsi" w:eastAsia="SimSun" w:hAnsiTheme="minorHAnsi" w:cstheme="minorHAnsi"/>
                <w:sz w:val="16"/>
                <w:szCs w:val="16"/>
              </w:rPr>
              <w:t>Axial force (N or Kg)</w:t>
            </w:r>
          </w:p>
        </w:tc>
      </w:tr>
      <w:tr w:rsidR="00137A53" w:rsidRPr="00137A53" w:rsidTr="008D2165">
        <w:tc>
          <w:tcPr>
            <w:tcW w:w="2765" w:type="dxa"/>
          </w:tcPr>
          <w:p w:rsidR="00137A53" w:rsidRPr="00137A53" w:rsidRDefault="00137A53" w:rsidP="00137A53">
            <w:pPr>
              <w:jc w:val="center"/>
              <w:rPr>
                <w:rFonts w:asciiTheme="minorHAnsi" w:eastAsia="SimSun" w:hAnsiTheme="minorHAnsi" w:cstheme="minorHAnsi"/>
                <w:sz w:val="16"/>
                <w:szCs w:val="16"/>
              </w:rPr>
            </w:pPr>
            <w:r w:rsidRPr="00137A53">
              <w:rPr>
                <w:rFonts w:asciiTheme="minorHAnsi" w:eastAsia="SimSun" w:hAnsiTheme="minorHAnsi" w:cstheme="minorHAnsi"/>
                <w:color w:val="000000"/>
                <w:kern w:val="24"/>
                <w:sz w:val="16"/>
                <w:szCs w:val="16"/>
              </w:rPr>
              <w:t>S</w:t>
            </w:r>
            <w:r w:rsidRPr="00137A53">
              <w:rPr>
                <w:rFonts w:asciiTheme="minorHAnsi" w:eastAsia="SimSun" w:hAnsiTheme="minorHAnsi" w:cstheme="minorHAnsi"/>
                <w:color w:val="000000"/>
                <w:kern w:val="24"/>
                <w:position w:val="-9"/>
                <w:sz w:val="16"/>
                <w:szCs w:val="16"/>
                <w:vertAlign w:val="subscript"/>
              </w:rPr>
              <w:t xml:space="preserve">1 </w:t>
            </w:r>
            <w:r w:rsidRPr="00137A53">
              <w:rPr>
                <w:rFonts w:asciiTheme="minorHAnsi" w:eastAsia="SimSun" w:hAnsiTheme="minorHAnsi" w:cstheme="minorHAnsi"/>
                <w:sz w:val="16"/>
                <w:szCs w:val="16"/>
              </w:rPr>
              <w:t>Finished wall thickness (mm)</w:t>
            </w:r>
          </w:p>
        </w:tc>
        <w:tc>
          <w:tcPr>
            <w:tcW w:w="2765" w:type="dxa"/>
          </w:tcPr>
          <w:p w:rsidR="00137A53" w:rsidRPr="00137A53" w:rsidRDefault="00137A53" w:rsidP="00137A53">
            <w:pPr>
              <w:jc w:val="center"/>
              <w:rPr>
                <w:rFonts w:asciiTheme="minorHAnsi" w:eastAsia="SimSun" w:hAnsiTheme="minorHAnsi" w:cstheme="minorHAnsi"/>
                <w:sz w:val="16"/>
                <w:szCs w:val="16"/>
              </w:rPr>
            </w:pPr>
            <w:r w:rsidRPr="00137A53">
              <w:rPr>
                <w:rFonts w:asciiTheme="minorHAnsi" w:eastAsia="SimSun" w:hAnsiTheme="minorHAnsi" w:cstheme="minorHAnsi"/>
                <w:color w:val="000000"/>
                <w:kern w:val="24"/>
                <w:sz w:val="16"/>
                <w:szCs w:val="16"/>
              </w:rPr>
              <w:sym w:font="Symbol" w:char="F064"/>
            </w:r>
            <w:r w:rsidRPr="00137A53">
              <w:rPr>
                <w:rFonts w:asciiTheme="minorHAnsi" w:eastAsia="SimSun" w:hAnsiTheme="minorHAnsi" w:cstheme="minorHAnsi"/>
                <w:color w:val="000000"/>
                <w:kern w:val="24"/>
                <w:sz w:val="16"/>
                <w:szCs w:val="16"/>
              </w:rPr>
              <w:t xml:space="preserve"> </w:t>
            </w:r>
            <w:r w:rsidRPr="00137A53">
              <w:rPr>
                <w:rFonts w:asciiTheme="minorHAnsi" w:eastAsia="SimSun" w:hAnsiTheme="minorHAnsi" w:cstheme="minorHAnsi"/>
                <w:sz w:val="16"/>
                <w:szCs w:val="16"/>
              </w:rPr>
              <w:t>Trailing angle(degree,°)</w:t>
            </w:r>
          </w:p>
        </w:tc>
        <w:tc>
          <w:tcPr>
            <w:tcW w:w="2766" w:type="dxa"/>
          </w:tcPr>
          <w:p w:rsidR="00137A53" w:rsidRPr="00137A53" w:rsidRDefault="00137A53" w:rsidP="00137A53">
            <w:pPr>
              <w:jc w:val="center"/>
              <w:rPr>
                <w:rFonts w:asciiTheme="minorHAnsi" w:eastAsia="SimSun" w:hAnsiTheme="minorHAnsi" w:cstheme="minorHAnsi"/>
                <w:sz w:val="16"/>
                <w:szCs w:val="16"/>
              </w:rPr>
            </w:pPr>
            <w:r w:rsidRPr="00137A53">
              <w:rPr>
                <w:rFonts w:asciiTheme="minorHAnsi" w:eastAsia="SimSun" w:hAnsiTheme="minorHAnsi" w:cstheme="minorHAnsi"/>
                <w:color w:val="000000"/>
                <w:kern w:val="24"/>
                <w:sz w:val="16"/>
                <w:szCs w:val="16"/>
              </w:rPr>
              <w:t>F</w:t>
            </w:r>
            <w:r w:rsidRPr="00137A53">
              <w:rPr>
                <w:rFonts w:asciiTheme="minorHAnsi" w:eastAsia="SimSun" w:hAnsiTheme="minorHAnsi" w:cstheme="minorHAnsi"/>
                <w:color w:val="000000"/>
                <w:kern w:val="24"/>
                <w:position w:val="-9"/>
                <w:sz w:val="16"/>
                <w:szCs w:val="16"/>
                <w:vertAlign w:val="subscript"/>
              </w:rPr>
              <w:t xml:space="preserve">R </w:t>
            </w:r>
            <w:r w:rsidRPr="00137A53">
              <w:rPr>
                <w:rFonts w:asciiTheme="minorHAnsi" w:eastAsia="SimSun" w:hAnsiTheme="minorHAnsi" w:cstheme="minorHAnsi"/>
                <w:sz w:val="16"/>
                <w:szCs w:val="16"/>
              </w:rPr>
              <w:t>Radial force (N)</w:t>
            </w:r>
          </w:p>
        </w:tc>
      </w:tr>
      <w:tr w:rsidR="00137A53" w:rsidRPr="00137A53" w:rsidTr="008D2165">
        <w:tc>
          <w:tcPr>
            <w:tcW w:w="2765" w:type="dxa"/>
          </w:tcPr>
          <w:p w:rsidR="00137A53" w:rsidRPr="00137A53" w:rsidRDefault="00137A53" w:rsidP="00137A53">
            <w:pPr>
              <w:jc w:val="center"/>
              <w:rPr>
                <w:rFonts w:asciiTheme="minorHAnsi" w:eastAsia="SimSun" w:hAnsiTheme="minorHAnsi" w:cstheme="minorHAnsi"/>
                <w:sz w:val="16"/>
                <w:szCs w:val="16"/>
              </w:rPr>
            </w:pPr>
            <w:r w:rsidRPr="00137A53">
              <w:rPr>
                <w:rFonts w:asciiTheme="minorHAnsi" w:eastAsia="SimSun" w:hAnsiTheme="minorHAnsi" w:cstheme="minorHAnsi"/>
                <w:kern w:val="24"/>
                <w:sz w:val="16"/>
                <w:szCs w:val="16"/>
              </w:rPr>
              <w:t>L</w:t>
            </w:r>
            <w:r w:rsidRPr="00137A53">
              <w:rPr>
                <w:rFonts w:asciiTheme="minorHAnsi" w:eastAsia="SimSun" w:hAnsiTheme="minorHAnsi" w:cstheme="minorHAnsi"/>
                <w:kern w:val="24"/>
                <w:position w:val="-9"/>
                <w:sz w:val="16"/>
                <w:szCs w:val="16"/>
                <w:vertAlign w:val="subscript"/>
              </w:rPr>
              <w:t xml:space="preserve">O </w:t>
            </w:r>
            <w:r w:rsidRPr="00137A53">
              <w:rPr>
                <w:rFonts w:asciiTheme="minorHAnsi" w:eastAsia="SimSun" w:hAnsiTheme="minorHAnsi" w:cstheme="minorHAnsi"/>
                <w:sz w:val="16"/>
                <w:szCs w:val="16"/>
              </w:rPr>
              <w:t>Starting length (mm)</w:t>
            </w:r>
          </w:p>
        </w:tc>
        <w:tc>
          <w:tcPr>
            <w:tcW w:w="2765" w:type="dxa"/>
            <w:vAlign w:val="center"/>
          </w:tcPr>
          <w:p w:rsidR="00137A53" w:rsidRPr="00137A53" w:rsidRDefault="00137A53" w:rsidP="00137A53">
            <w:pPr>
              <w:jc w:val="center"/>
              <w:rPr>
                <w:rFonts w:asciiTheme="minorHAnsi" w:eastAsia="Times New Roman" w:hAnsiTheme="minorHAnsi" w:cstheme="minorHAnsi"/>
                <w:sz w:val="16"/>
                <w:szCs w:val="16"/>
              </w:rPr>
            </w:pPr>
            <w:r w:rsidRPr="00137A53">
              <w:rPr>
                <w:rFonts w:asciiTheme="minorHAnsi" w:eastAsia="Times New Roman" w:hAnsiTheme="minorHAnsi" w:cstheme="minorHAnsi"/>
                <w:color w:val="000000"/>
                <w:kern w:val="24"/>
                <w:sz w:val="16"/>
                <w:szCs w:val="16"/>
              </w:rPr>
              <w:t xml:space="preserve">R </w:t>
            </w:r>
            <w:r w:rsidRPr="00137A53">
              <w:rPr>
                <w:rFonts w:asciiTheme="minorHAnsi" w:eastAsia="Times New Roman" w:hAnsiTheme="minorHAnsi" w:cstheme="minorHAnsi"/>
                <w:sz w:val="16"/>
                <w:szCs w:val="16"/>
              </w:rPr>
              <w:t>Nose radius(mm)</w:t>
            </w:r>
          </w:p>
        </w:tc>
        <w:tc>
          <w:tcPr>
            <w:tcW w:w="2766" w:type="dxa"/>
          </w:tcPr>
          <w:p w:rsidR="00137A53" w:rsidRPr="00137A53" w:rsidRDefault="00137A53" w:rsidP="00137A53">
            <w:pPr>
              <w:jc w:val="center"/>
              <w:rPr>
                <w:rFonts w:asciiTheme="minorHAnsi" w:eastAsia="SimSun" w:hAnsiTheme="minorHAnsi" w:cstheme="minorHAnsi"/>
                <w:sz w:val="16"/>
                <w:szCs w:val="16"/>
              </w:rPr>
            </w:pPr>
            <w:r w:rsidRPr="00137A53">
              <w:rPr>
                <w:rFonts w:asciiTheme="minorHAnsi" w:eastAsia="SimSun" w:hAnsiTheme="minorHAnsi" w:cstheme="minorHAnsi"/>
                <w:color w:val="000000"/>
                <w:kern w:val="24"/>
                <w:sz w:val="16"/>
                <w:szCs w:val="16"/>
              </w:rPr>
              <w:t>F</w:t>
            </w:r>
            <w:r w:rsidRPr="00137A53">
              <w:rPr>
                <w:rFonts w:asciiTheme="minorHAnsi" w:eastAsia="SimSun" w:hAnsiTheme="minorHAnsi" w:cstheme="minorHAnsi"/>
                <w:color w:val="000000"/>
                <w:kern w:val="24"/>
                <w:position w:val="-9"/>
                <w:sz w:val="16"/>
                <w:szCs w:val="16"/>
                <w:vertAlign w:val="subscript"/>
              </w:rPr>
              <w:t xml:space="preserve">T </w:t>
            </w:r>
            <w:r w:rsidRPr="00137A53">
              <w:rPr>
                <w:rFonts w:asciiTheme="minorHAnsi" w:eastAsia="SimSun" w:hAnsiTheme="minorHAnsi" w:cstheme="minorHAnsi"/>
                <w:sz w:val="16"/>
                <w:szCs w:val="16"/>
              </w:rPr>
              <w:t>Tangential force (N)</w:t>
            </w:r>
          </w:p>
        </w:tc>
      </w:tr>
      <w:tr w:rsidR="00137A53" w:rsidRPr="00137A53" w:rsidTr="008D2165">
        <w:tc>
          <w:tcPr>
            <w:tcW w:w="2765" w:type="dxa"/>
          </w:tcPr>
          <w:p w:rsidR="00137A53" w:rsidRPr="00137A53" w:rsidRDefault="00137A53" w:rsidP="00137A53">
            <w:pPr>
              <w:jc w:val="center"/>
              <w:rPr>
                <w:rFonts w:asciiTheme="minorHAnsi" w:eastAsia="SimSun" w:hAnsiTheme="minorHAnsi" w:cstheme="minorHAnsi"/>
                <w:sz w:val="16"/>
                <w:szCs w:val="16"/>
              </w:rPr>
            </w:pPr>
            <w:r w:rsidRPr="00137A53">
              <w:rPr>
                <w:rFonts w:asciiTheme="minorHAnsi" w:eastAsia="SimSun" w:hAnsiTheme="minorHAnsi" w:cstheme="minorHAnsi"/>
                <w:kern w:val="24"/>
                <w:sz w:val="16"/>
                <w:szCs w:val="16"/>
              </w:rPr>
              <w:t>D</w:t>
            </w:r>
            <w:r w:rsidRPr="00137A53">
              <w:rPr>
                <w:rFonts w:asciiTheme="minorHAnsi" w:eastAsia="SimSun" w:hAnsiTheme="minorHAnsi" w:cstheme="minorHAnsi"/>
                <w:color w:val="000000"/>
                <w:kern w:val="24"/>
                <w:position w:val="-9"/>
                <w:sz w:val="16"/>
                <w:szCs w:val="16"/>
                <w:vertAlign w:val="subscript"/>
              </w:rPr>
              <w:t>I</w:t>
            </w:r>
            <w:r w:rsidRPr="00137A53">
              <w:rPr>
                <w:rFonts w:asciiTheme="minorHAnsi" w:eastAsia="SimSun" w:hAnsiTheme="minorHAnsi" w:cstheme="minorHAnsi"/>
                <w:kern w:val="24"/>
                <w:position w:val="-9"/>
                <w:sz w:val="16"/>
                <w:szCs w:val="16"/>
                <w:vertAlign w:val="subscript"/>
              </w:rPr>
              <w:t xml:space="preserve"> </w:t>
            </w:r>
            <w:r w:rsidRPr="00137A53">
              <w:rPr>
                <w:rFonts w:asciiTheme="minorHAnsi" w:eastAsia="SimSun" w:hAnsiTheme="minorHAnsi" w:cstheme="minorHAnsi"/>
                <w:sz w:val="16"/>
                <w:szCs w:val="16"/>
              </w:rPr>
              <w:t>Inside diameter (mm)</w:t>
            </w:r>
          </w:p>
        </w:tc>
        <w:tc>
          <w:tcPr>
            <w:tcW w:w="2765" w:type="dxa"/>
          </w:tcPr>
          <w:p w:rsidR="00137A53" w:rsidRPr="00137A53" w:rsidRDefault="00137A53" w:rsidP="00137A53">
            <w:pPr>
              <w:jc w:val="center"/>
              <w:rPr>
                <w:rFonts w:asciiTheme="minorHAnsi" w:eastAsia="SimSun" w:hAnsiTheme="minorHAnsi" w:cstheme="minorHAnsi"/>
                <w:sz w:val="16"/>
                <w:szCs w:val="16"/>
              </w:rPr>
            </w:pPr>
            <w:r w:rsidRPr="00137A53">
              <w:rPr>
                <w:rFonts w:asciiTheme="minorHAnsi" w:eastAsia="SimSun" w:hAnsiTheme="minorHAnsi" w:cstheme="minorHAnsi"/>
                <w:color w:val="000000"/>
                <w:kern w:val="24"/>
                <w:sz w:val="16"/>
                <w:szCs w:val="16"/>
              </w:rPr>
              <w:t xml:space="preserve">V </w:t>
            </w:r>
            <w:r w:rsidRPr="00137A53">
              <w:rPr>
                <w:rFonts w:asciiTheme="minorHAnsi" w:eastAsia="SimSun" w:hAnsiTheme="minorHAnsi" w:cstheme="minorHAnsi"/>
                <w:sz w:val="16"/>
                <w:szCs w:val="16"/>
              </w:rPr>
              <w:t>Feed rate (mm/minute)</w:t>
            </w:r>
          </w:p>
        </w:tc>
        <w:tc>
          <w:tcPr>
            <w:tcW w:w="2766" w:type="dxa"/>
          </w:tcPr>
          <w:p w:rsidR="00137A53" w:rsidRPr="00137A53" w:rsidRDefault="00137A53" w:rsidP="00137A53">
            <w:pPr>
              <w:keepNext/>
              <w:jc w:val="center"/>
              <w:rPr>
                <w:rFonts w:asciiTheme="minorHAnsi" w:eastAsia="SimSun" w:hAnsiTheme="minorHAnsi" w:cstheme="minorHAnsi"/>
                <w:sz w:val="16"/>
                <w:szCs w:val="16"/>
              </w:rPr>
            </w:pPr>
            <w:r w:rsidRPr="00137A53">
              <w:rPr>
                <w:rFonts w:asciiTheme="minorHAnsi" w:eastAsia="SimSun" w:hAnsiTheme="minorHAnsi" w:cstheme="minorHAnsi"/>
                <w:sz w:val="16"/>
                <w:szCs w:val="16"/>
              </w:rPr>
              <w:t>n Spindle Speed (rpm)</w:t>
            </w:r>
          </w:p>
        </w:tc>
      </w:tr>
    </w:tbl>
    <w:p w:rsidR="00137A53" w:rsidRPr="002D4E10" w:rsidRDefault="00137A53" w:rsidP="002D4E10">
      <w:pPr>
        <w:spacing w:after="200"/>
        <w:jc w:val="center"/>
        <w:rPr>
          <w:rFonts w:ascii="Times New Roman" w:eastAsia="SimSun" w:hAnsi="Times New Roman" w:cs="Times New Roman"/>
          <w:iCs/>
          <w:kern w:val="2"/>
          <w:sz w:val="20"/>
          <w:szCs w:val="20"/>
          <w:lang w:eastAsia="zh-CN"/>
        </w:rPr>
      </w:pPr>
      <w:r w:rsidRPr="00137A53">
        <w:rPr>
          <w:rFonts w:ascii="Calibri" w:eastAsia="SimSun" w:hAnsi="Calibri" w:cs="Arial"/>
          <w:b/>
          <w:iCs/>
          <w:kern w:val="2"/>
          <w:sz w:val="18"/>
          <w:szCs w:val="18"/>
          <w:lang w:eastAsia="zh-CN"/>
        </w:rPr>
        <w:t xml:space="preserve">Figure </w:t>
      </w:r>
      <w:r w:rsidRPr="00137A53">
        <w:rPr>
          <w:rFonts w:ascii="Calibri" w:eastAsia="SimSun" w:hAnsi="Calibri" w:cs="Arial"/>
          <w:b/>
          <w:iCs/>
          <w:kern w:val="2"/>
          <w:sz w:val="18"/>
          <w:szCs w:val="18"/>
          <w:lang w:eastAsia="zh-CN"/>
        </w:rPr>
        <w:fldChar w:fldCharType="begin"/>
      </w:r>
      <w:r w:rsidRPr="00137A53">
        <w:rPr>
          <w:rFonts w:ascii="Calibri" w:eastAsia="SimSun" w:hAnsi="Calibri" w:cs="Arial"/>
          <w:b/>
          <w:iCs/>
          <w:kern w:val="2"/>
          <w:sz w:val="18"/>
          <w:szCs w:val="18"/>
          <w:lang w:eastAsia="zh-CN"/>
        </w:rPr>
        <w:instrText xml:space="preserve"> SEQ Figure \* ARABIC </w:instrText>
      </w:r>
      <w:r w:rsidRPr="00137A53">
        <w:rPr>
          <w:rFonts w:ascii="Calibri" w:eastAsia="SimSun" w:hAnsi="Calibri" w:cs="Arial"/>
          <w:b/>
          <w:iCs/>
          <w:kern w:val="2"/>
          <w:sz w:val="18"/>
          <w:szCs w:val="18"/>
          <w:lang w:eastAsia="zh-CN"/>
        </w:rPr>
        <w:fldChar w:fldCharType="separate"/>
      </w:r>
      <w:r w:rsidRPr="00137A53">
        <w:rPr>
          <w:rFonts w:ascii="Calibri" w:eastAsia="SimSun" w:hAnsi="Calibri" w:cs="Arial"/>
          <w:b/>
          <w:iCs/>
          <w:noProof/>
          <w:kern w:val="2"/>
          <w:sz w:val="18"/>
          <w:szCs w:val="18"/>
          <w:lang w:eastAsia="zh-CN"/>
        </w:rPr>
        <w:t>1</w:t>
      </w:r>
      <w:r w:rsidRPr="00137A53">
        <w:rPr>
          <w:rFonts w:ascii="Calibri" w:eastAsia="SimSun" w:hAnsi="Calibri" w:cs="Arial"/>
          <w:b/>
          <w:iCs/>
          <w:kern w:val="2"/>
          <w:sz w:val="18"/>
          <w:szCs w:val="18"/>
          <w:lang w:eastAsia="zh-CN"/>
        </w:rPr>
        <w:fldChar w:fldCharType="end"/>
      </w:r>
      <w:r w:rsidRPr="00137A53">
        <w:rPr>
          <w:rFonts w:ascii="Calibri" w:eastAsia="SimSun" w:hAnsi="Calibri" w:cs="Arial"/>
          <w:b/>
          <w:iCs/>
          <w:kern w:val="2"/>
          <w:sz w:val="18"/>
          <w:szCs w:val="18"/>
          <w:lang w:eastAsia="zh-CN"/>
        </w:rPr>
        <w:t>.</w:t>
      </w:r>
      <w:r w:rsidRPr="00137A53">
        <w:rPr>
          <w:rFonts w:ascii="Calibri" w:eastAsia="SimSun" w:hAnsi="Calibri" w:cs="Arial"/>
          <w:iCs/>
          <w:kern w:val="2"/>
          <w:sz w:val="18"/>
          <w:szCs w:val="18"/>
          <w:lang w:eastAsia="zh-CN"/>
        </w:rPr>
        <w:t xml:space="preserve"> Illustration of Flow formed part, preform (a) and Flow forming Principle (b)</w:t>
      </w:r>
    </w:p>
    <w:p w:rsidR="00137A53" w:rsidRDefault="00137A53" w:rsidP="005973B9">
      <w:pPr>
        <w:spacing w:line="204" w:lineRule="exact"/>
        <w:rPr>
          <w:rFonts w:ascii="Arial"/>
          <w:b/>
          <w:color w:val="BF5A14"/>
          <w:sz w:val="20"/>
        </w:rPr>
      </w:pPr>
    </w:p>
    <w:p w:rsidR="00366442" w:rsidRPr="00366442" w:rsidRDefault="005973B9" w:rsidP="00366442">
      <w:pPr>
        <w:spacing w:line="204" w:lineRule="exact"/>
        <w:rPr>
          <w:rFonts w:ascii="Arial"/>
          <w:b/>
          <w:sz w:val="20"/>
        </w:rPr>
      </w:pPr>
      <w:r>
        <w:rPr>
          <w:rFonts w:ascii="Arial"/>
          <w:b/>
          <w:color w:val="BF5A14"/>
          <w:sz w:val="20"/>
        </w:rPr>
        <w:t>Recent Publications (minimum 5)</w:t>
      </w:r>
    </w:p>
    <w:p w:rsidR="00A764FA" w:rsidRDefault="005A6CA6" w:rsidP="005973B9">
      <w:pPr>
        <w:pStyle w:val="ListParagraph"/>
        <w:numPr>
          <w:ilvl w:val="0"/>
          <w:numId w:val="3"/>
        </w:numPr>
        <w:tabs>
          <w:tab w:val="left" w:pos="384"/>
        </w:tabs>
        <w:spacing w:before="103" w:line="216" w:lineRule="exact"/>
        <w:ind w:right="138" w:hanging="283"/>
        <w:rPr>
          <w:sz w:val="18"/>
        </w:rPr>
      </w:pPr>
      <w:r w:rsidRPr="005A6CA6">
        <w:rPr>
          <w:sz w:val="18"/>
        </w:rPr>
        <w:t>R. J. Bhatt and H. K. Raval,</w:t>
      </w:r>
      <w:r w:rsidR="00366442">
        <w:rPr>
          <w:sz w:val="18"/>
        </w:rPr>
        <w:t>(2016),</w:t>
      </w:r>
      <w:r w:rsidRPr="005A6CA6">
        <w:rPr>
          <w:sz w:val="18"/>
        </w:rPr>
        <w:t xml:space="preserve"> “Influence of Operating Variables during Flow Forming Process,” in </w:t>
      </w:r>
      <w:r w:rsidRPr="005A6CA6">
        <w:rPr>
          <w:i/>
          <w:iCs/>
          <w:sz w:val="18"/>
        </w:rPr>
        <w:t>Procedia CIRP</w:t>
      </w:r>
      <w:r w:rsidR="00366442">
        <w:rPr>
          <w:sz w:val="18"/>
        </w:rPr>
        <w:t>,</w:t>
      </w:r>
      <w:r w:rsidRPr="005A6CA6">
        <w:rPr>
          <w:sz w:val="18"/>
        </w:rPr>
        <w:t xml:space="preserve"> vol. 55, pp. 146–151.</w:t>
      </w:r>
    </w:p>
    <w:p w:rsidR="00366442" w:rsidRPr="00366442" w:rsidRDefault="00366442" w:rsidP="00366442">
      <w:pPr>
        <w:pStyle w:val="ListParagraph"/>
        <w:numPr>
          <w:ilvl w:val="0"/>
          <w:numId w:val="3"/>
        </w:numPr>
        <w:rPr>
          <w:sz w:val="18"/>
        </w:rPr>
      </w:pPr>
      <w:r w:rsidRPr="00366442">
        <w:rPr>
          <w:sz w:val="18"/>
        </w:rPr>
        <w:t>Kocabiçak A. C., Yalçinkaya S. (2020)."Investigation of the Effects of Flowforming Process in Terms of Micro-Structure and Strength Applied to AISI 5140 Steel". “Technological Developments in Engineering”, Editors: Prof. Dr. Hülya KALAYCIOĞLU and Assist Prof.Dr. Senai YALÇINKAYA, Güven Plus Publications: 45/2020, Istanbul,</w:t>
      </w:r>
      <w:r>
        <w:rPr>
          <w:sz w:val="18"/>
        </w:rPr>
        <w:t>Turkey,</w:t>
      </w:r>
      <w:r w:rsidRPr="00366442">
        <w:rPr>
          <w:sz w:val="18"/>
        </w:rPr>
        <w:t xml:space="preserve"> pp.53-75, </w:t>
      </w:r>
    </w:p>
    <w:p w:rsidR="00190024" w:rsidRDefault="00190024" w:rsidP="005973B9">
      <w:pPr>
        <w:pStyle w:val="ListParagraph"/>
        <w:numPr>
          <w:ilvl w:val="0"/>
          <w:numId w:val="3"/>
        </w:numPr>
        <w:tabs>
          <w:tab w:val="left" w:pos="384"/>
        </w:tabs>
        <w:spacing w:line="216" w:lineRule="exact"/>
        <w:ind w:right="137" w:hanging="283"/>
        <w:rPr>
          <w:sz w:val="18"/>
        </w:rPr>
      </w:pPr>
      <w:r w:rsidRPr="00190024">
        <w:rPr>
          <w:sz w:val="18"/>
        </w:rPr>
        <w:t>M. Joseph Davidson, K. Balasubramanian, and G. R. N. Tagore,</w:t>
      </w:r>
      <w:r w:rsidR="00366442">
        <w:rPr>
          <w:sz w:val="18"/>
        </w:rPr>
        <w:t xml:space="preserve"> (2008),</w:t>
      </w:r>
      <w:r w:rsidRPr="00190024">
        <w:rPr>
          <w:sz w:val="18"/>
        </w:rPr>
        <w:t xml:space="preserve"> “An experimental study on the quality of flow-formed AA6061 tubes,” </w:t>
      </w:r>
      <w:r w:rsidRPr="00190024">
        <w:rPr>
          <w:i/>
          <w:iCs/>
          <w:sz w:val="18"/>
        </w:rPr>
        <w:t>J. Mater. Process. Technol.</w:t>
      </w:r>
      <w:r w:rsidRPr="00190024">
        <w:rPr>
          <w:sz w:val="18"/>
        </w:rPr>
        <w:t xml:space="preserve">, vol. 203, </w:t>
      </w:r>
      <w:r w:rsidR="00366442">
        <w:rPr>
          <w:sz w:val="18"/>
        </w:rPr>
        <w:t>no. 1–3, pp. 321–325.</w:t>
      </w:r>
    </w:p>
    <w:p w:rsidR="002314F4" w:rsidRDefault="002314F4" w:rsidP="005973B9">
      <w:pPr>
        <w:pStyle w:val="ListParagraph"/>
        <w:numPr>
          <w:ilvl w:val="0"/>
          <w:numId w:val="3"/>
        </w:numPr>
        <w:tabs>
          <w:tab w:val="left" w:pos="384"/>
        </w:tabs>
        <w:spacing w:line="216" w:lineRule="exact"/>
        <w:ind w:right="137" w:hanging="283"/>
        <w:rPr>
          <w:sz w:val="18"/>
        </w:rPr>
      </w:pPr>
      <w:r w:rsidRPr="002314F4">
        <w:rPr>
          <w:sz w:val="18"/>
        </w:rPr>
        <w:t>R. J. Bhatt and H. K. Raval,</w:t>
      </w:r>
      <w:r w:rsidR="00366442">
        <w:rPr>
          <w:sz w:val="18"/>
        </w:rPr>
        <w:t xml:space="preserve"> (2015),</w:t>
      </w:r>
      <w:r w:rsidRPr="002314F4">
        <w:rPr>
          <w:sz w:val="18"/>
        </w:rPr>
        <w:t xml:space="preserve"> “Comparative Study of Forward and Backward Flow Forming Process using Finite Element Analysis,” </w:t>
      </w:r>
      <w:r w:rsidRPr="002314F4">
        <w:rPr>
          <w:i/>
          <w:iCs/>
          <w:sz w:val="18"/>
        </w:rPr>
        <w:t>Bonfring Int. J. Ind. Eng. Manag. Sci.</w:t>
      </w:r>
      <w:r w:rsidRPr="002314F4">
        <w:rPr>
          <w:sz w:val="18"/>
        </w:rPr>
        <w:t>,</w:t>
      </w:r>
      <w:r w:rsidR="00366442">
        <w:rPr>
          <w:sz w:val="18"/>
        </w:rPr>
        <w:t xml:space="preserve"> vol. 5, no. 2, pp. 46–50.</w:t>
      </w:r>
    </w:p>
    <w:p w:rsidR="006C7016" w:rsidRDefault="006C7016" w:rsidP="005973B9">
      <w:pPr>
        <w:pStyle w:val="ListParagraph"/>
        <w:numPr>
          <w:ilvl w:val="0"/>
          <w:numId w:val="3"/>
        </w:numPr>
        <w:tabs>
          <w:tab w:val="left" w:pos="384"/>
        </w:tabs>
        <w:spacing w:line="216" w:lineRule="exact"/>
        <w:ind w:right="137" w:hanging="283"/>
        <w:rPr>
          <w:sz w:val="18"/>
        </w:rPr>
      </w:pPr>
      <w:r w:rsidRPr="006C7016">
        <w:rPr>
          <w:sz w:val="18"/>
        </w:rPr>
        <w:lastRenderedPageBreak/>
        <w:t>C. W. Lin, K. J. Chen, F. Y. Hung, T. S. Lui, and H. P. Chen,</w:t>
      </w:r>
      <w:r w:rsidR="00366442">
        <w:rPr>
          <w:sz w:val="18"/>
        </w:rPr>
        <w:t>(2019),</w:t>
      </w:r>
      <w:r w:rsidRPr="006C7016">
        <w:rPr>
          <w:sz w:val="18"/>
        </w:rPr>
        <w:t xml:space="preserve"> “Impact of solid-solution treatment on microstructural characteristics and formability of rotary-swaged 2024 alloy tubes,” </w:t>
      </w:r>
      <w:r w:rsidRPr="006C7016">
        <w:rPr>
          <w:i/>
          <w:iCs/>
          <w:sz w:val="18"/>
        </w:rPr>
        <w:t>J. Mater. Res. Technol.</w:t>
      </w:r>
      <w:r w:rsidRPr="006C7016">
        <w:rPr>
          <w:sz w:val="18"/>
        </w:rPr>
        <w:t>, vol. 8,</w:t>
      </w:r>
      <w:r w:rsidR="00366442">
        <w:rPr>
          <w:sz w:val="18"/>
        </w:rPr>
        <w:t xml:space="preserve"> no. 3, pp. 3137–3148.</w:t>
      </w:r>
    </w:p>
    <w:p w:rsidR="005743AD" w:rsidRPr="005743AD" w:rsidRDefault="005743AD" w:rsidP="005743AD">
      <w:pPr>
        <w:pStyle w:val="ListParagraph"/>
        <w:numPr>
          <w:ilvl w:val="0"/>
          <w:numId w:val="3"/>
        </w:numPr>
        <w:tabs>
          <w:tab w:val="left" w:pos="384"/>
        </w:tabs>
        <w:spacing w:line="216" w:lineRule="exact"/>
        <w:ind w:right="138"/>
        <w:rPr>
          <w:sz w:val="18"/>
        </w:rPr>
      </w:pPr>
      <w:r w:rsidRPr="005743AD">
        <w:rPr>
          <w:sz w:val="18"/>
        </w:rPr>
        <w:t>Karakaş A., Kocabiçak A. C. , Yalçinkaya S. , Şahin Y.</w:t>
      </w:r>
      <w:r>
        <w:rPr>
          <w:sz w:val="18"/>
        </w:rPr>
        <w:t xml:space="preserve"> (2021), </w:t>
      </w:r>
      <w:r w:rsidRPr="005743AD">
        <w:rPr>
          <w:sz w:val="18"/>
        </w:rPr>
        <w:t>Flow Forming Process for Anne</w:t>
      </w:r>
      <w:r>
        <w:rPr>
          <w:sz w:val="18"/>
        </w:rPr>
        <w:t xml:space="preserve">aled AISI 5140 Alloy Steel Tube, </w:t>
      </w:r>
      <w:r w:rsidRPr="005743AD">
        <w:rPr>
          <w:sz w:val="18"/>
        </w:rPr>
        <w:t>Proceedings of the 8th International Conference on Fracture, Fatigue and Wear</w:t>
      </w:r>
      <w:r>
        <w:rPr>
          <w:sz w:val="18"/>
        </w:rPr>
        <w:t>, cilt.8, sa.8, ss.153-164.</w:t>
      </w:r>
    </w:p>
    <w:p w:rsidR="00FA2606" w:rsidRPr="00FA2606" w:rsidRDefault="00FA2606" w:rsidP="00FA2606">
      <w:pPr>
        <w:pStyle w:val="ListParagraph"/>
        <w:numPr>
          <w:ilvl w:val="0"/>
          <w:numId w:val="3"/>
        </w:numPr>
        <w:rPr>
          <w:sz w:val="18"/>
        </w:rPr>
      </w:pPr>
      <w:r w:rsidRPr="00FA2606">
        <w:rPr>
          <w:sz w:val="18"/>
        </w:rPr>
        <w:t>Repkon</w:t>
      </w:r>
      <w:r w:rsidR="00366442">
        <w:rPr>
          <w:sz w:val="18"/>
        </w:rPr>
        <w:t xml:space="preserve"> (2020),</w:t>
      </w:r>
      <w:r w:rsidRPr="00FA2606">
        <w:rPr>
          <w:sz w:val="18"/>
        </w:rPr>
        <w:t xml:space="preserve"> Machine and Tool</w:t>
      </w:r>
      <w:r>
        <w:rPr>
          <w:sz w:val="18"/>
        </w:rPr>
        <w:t xml:space="preserve"> Industry and Trade Inc., </w:t>
      </w:r>
      <w:r w:rsidRPr="00FA2606">
        <w:rPr>
          <w:sz w:val="18"/>
        </w:rPr>
        <w:t>34980, Istanbul, Turkey</w:t>
      </w:r>
      <w:r w:rsidR="00850AF9">
        <w:rPr>
          <w:sz w:val="18"/>
        </w:rPr>
        <w:t>,</w:t>
      </w:r>
      <w:r w:rsidR="00850AF9" w:rsidRPr="00850AF9">
        <w:rPr>
          <w:rFonts w:ascii="Times New Roman" w:eastAsiaTheme="minorEastAsia" w:hAnsi="Times New Roman" w:cs="Times New Roman"/>
          <w:kern w:val="2"/>
          <w:sz w:val="24"/>
          <w:szCs w:val="24"/>
          <w:lang w:eastAsia="zh-CN"/>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B0ABA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44B0A" w:rsidRDefault="00644B0A" w:rsidP="00404E5B">
      <w:pPr>
        <w:spacing w:before="92"/>
        <w:ind w:right="4234"/>
        <w:rPr>
          <w:noProof/>
        </w:rPr>
      </w:pPr>
      <w:r>
        <w:rPr>
          <w:noProof/>
        </w:rPr>
        <w:t xml:space="preserve">  </w:t>
      </w:r>
      <w:r w:rsidR="008756E6">
        <w:rPr>
          <w:noProof/>
        </w:rPr>
        <w:t xml:space="preserve">    </w:t>
      </w:r>
      <w:r>
        <w:rPr>
          <w:noProof/>
        </w:rPr>
        <w:drawing>
          <wp:inline distT="0" distB="0" distL="0" distR="0" wp14:anchorId="4FDF7298" wp14:editId="0C889BE0">
            <wp:extent cx="1231392" cy="1231392"/>
            <wp:effectExtent l="0" t="0" r="6985" b="6985"/>
            <wp:docPr id="2" name="Picture 2" descr="https://avesis.marmara.edu.tr/user/image/4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esis.marmara.edu.tr/user/image/41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9188" cy="1239188"/>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6C3FCE" w:rsidRPr="006C3FCE" w:rsidRDefault="006C3FCE" w:rsidP="006C3FCE">
      <w:pPr>
        <w:spacing w:before="41" w:line="154" w:lineRule="exact"/>
        <w:ind w:left="213" w:right="231"/>
        <w:jc w:val="both"/>
        <w:rPr>
          <w:rFonts w:ascii="Arial"/>
          <w:sz w:val="14"/>
        </w:rPr>
      </w:pPr>
      <w:r w:rsidRPr="006C3FCE">
        <w:rPr>
          <w:rFonts w:ascii="Arial"/>
          <w:sz w:val="14"/>
        </w:rPr>
        <w:t>Dr.Senai YAL</w:t>
      </w:r>
      <w:r w:rsidRPr="006C3FCE">
        <w:rPr>
          <w:rFonts w:ascii="Arial"/>
          <w:sz w:val="14"/>
        </w:rPr>
        <w:t>Ç</w:t>
      </w:r>
      <w:r w:rsidRPr="006C3FCE">
        <w:rPr>
          <w:rFonts w:ascii="Arial"/>
          <w:sz w:val="14"/>
        </w:rPr>
        <w:t xml:space="preserve">INKAYA working as an Assistant Prof in Marmara University Faculty of Technology Department of Mechanical Engineering. </w:t>
      </w:r>
    </w:p>
    <w:p w:rsidR="00D45306" w:rsidRPr="00D45306" w:rsidRDefault="006C3FCE" w:rsidP="00D45306">
      <w:pPr>
        <w:spacing w:before="41" w:line="154" w:lineRule="exact"/>
        <w:ind w:left="213" w:right="231"/>
        <w:jc w:val="both"/>
        <w:rPr>
          <w:rFonts w:ascii="Arial"/>
          <w:sz w:val="14"/>
        </w:rPr>
      </w:pPr>
      <w:r w:rsidRPr="006C3FCE">
        <w:rPr>
          <w:rFonts w:ascii="Arial"/>
          <w:sz w:val="14"/>
        </w:rPr>
        <w:t>He continues to work as a research and teaching member at Istanbul Marmara University. He is the editor of International Symposiums, books, and journals and has many international papers and published research studies.</w:t>
      </w:r>
      <w:r w:rsidR="00D45306" w:rsidRPr="00D45306">
        <w:t xml:space="preserve"> </w:t>
      </w:r>
      <w:r w:rsidR="00D45306" w:rsidRPr="00D45306">
        <w:rPr>
          <w:rFonts w:ascii="Arial"/>
          <w:sz w:val="14"/>
        </w:rPr>
        <w:t>He conducted academic research studies at Minho University in Portugal and at Stuttgart University in Germany.</w:t>
      </w:r>
    </w:p>
    <w:p w:rsidR="006C3FCE" w:rsidRPr="006C3FCE" w:rsidRDefault="00D45306" w:rsidP="00D45306">
      <w:pPr>
        <w:spacing w:before="41" w:line="154" w:lineRule="exact"/>
        <w:ind w:left="213" w:right="231"/>
        <w:jc w:val="both"/>
        <w:rPr>
          <w:rFonts w:ascii="Arial"/>
          <w:sz w:val="14"/>
        </w:rPr>
      </w:pPr>
      <w:r w:rsidRPr="00D45306">
        <w:rPr>
          <w:rFonts w:ascii="Arial"/>
          <w:sz w:val="14"/>
        </w:rPr>
        <w:t>He has presented more than 20 book chapters published in books in the field of engineering and more than 60 international papers. He has over 25 published articles.</w:t>
      </w:r>
    </w:p>
    <w:p w:rsidR="006C3FCE" w:rsidRPr="006C3FCE" w:rsidRDefault="006C3FCE" w:rsidP="006C3FCE">
      <w:pPr>
        <w:spacing w:before="41" w:line="154" w:lineRule="exact"/>
        <w:ind w:left="213" w:right="231"/>
        <w:jc w:val="both"/>
        <w:rPr>
          <w:rFonts w:ascii="Arial"/>
          <w:sz w:val="14"/>
        </w:rPr>
      </w:pPr>
      <w:r w:rsidRPr="006C3FCE">
        <w:rPr>
          <w:rFonts w:ascii="Arial"/>
          <w:sz w:val="14"/>
        </w:rPr>
        <w:t>Research Areas</w:t>
      </w:r>
    </w:p>
    <w:p w:rsidR="006C3FCE" w:rsidRPr="006C3FCE" w:rsidRDefault="006C3FCE" w:rsidP="006C3FCE">
      <w:pPr>
        <w:spacing w:before="41" w:line="154" w:lineRule="exact"/>
        <w:ind w:left="213" w:right="231"/>
        <w:jc w:val="both"/>
        <w:rPr>
          <w:rFonts w:ascii="Arial"/>
          <w:sz w:val="14"/>
        </w:rPr>
      </w:pPr>
      <w:r w:rsidRPr="006C3FCE">
        <w:rPr>
          <w:rFonts w:ascii="Arial"/>
          <w:sz w:val="14"/>
        </w:rPr>
        <w:t>Metal cutting principles, Manufacturing Processes, Cutting Tools, Wear and Friction, Tool Design, Corrosion, and Surface Protection Materials in Machine, Experimental Design, and Analysis. Friction and wear theories, Corrosion and surface protection of machine materials, 3D Printer Extruder.</w:t>
      </w:r>
    </w:p>
    <w:p w:rsidR="006C3FCE" w:rsidRPr="006C3FCE" w:rsidRDefault="006C3FCE" w:rsidP="006C3FCE">
      <w:pPr>
        <w:spacing w:before="41" w:line="154" w:lineRule="exact"/>
        <w:ind w:left="213" w:right="231"/>
        <w:jc w:val="both"/>
        <w:rPr>
          <w:rFonts w:ascii="Arial"/>
          <w:sz w:val="14"/>
        </w:rPr>
      </w:pPr>
      <w:r w:rsidRPr="006C3FCE">
        <w:rPr>
          <w:rFonts w:ascii="Arial"/>
          <w:sz w:val="14"/>
        </w:rPr>
        <w:t>Education Activities</w:t>
      </w:r>
    </w:p>
    <w:p w:rsidR="006C3FCE" w:rsidRPr="00B93A05" w:rsidRDefault="006C3FCE" w:rsidP="006C3FCE">
      <w:pPr>
        <w:spacing w:before="41" w:line="154" w:lineRule="exact"/>
        <w:ind w:left="213" w:right="231"/>
        <w:jc w:val="both"/>
        <w:rPr>
          <w:rFonts w:ascii="Arial"/>
          <w:sz w:val="14"/>
        </w:rPr>
      </w:pPr>
      <w:r w:rsidRPr="006C3FCE">
        <w:rPr>
          <w:rFonts w:ascii="Arial"/>
          <w:sz w:val="14"/>
        </w:rPr>
        <w:t>Metal cutting principles, Manufacturing processes, Machine design, Experimental design &amp;Analysis, SLS, Friction and wear theories, Corrosion and surface protection of machine materials, 3D printer, Tribology, Machining processes, Additive  Manufacturing</w:t>
      </w:r>
    </w:p>
    <w:p w:rsidR="00B93A05" w:rsidRDefault="00B93A05">
      <w:pPr>
        <w:spacing w:before="41" w:line="154" w:lineRule="exact"/>
        <w:ind w:left="213" w:right="231"/>
        <w:jc w:val="both"/>
        <w:rPr>
          <w:rFonts w:ascii="Arial"/>
          <w:sz w:val="14"/>
        </w:rPr>
      </w:pPr>
    </w:p>
    <w:p w:rsidR="00B93A05" w:rsidRDefault="00B93A05">
      <w:pPr>
        <w:spacing w:before="41" w:line="154" w:lineRule="exact"/>
        <w:ind w:left="213" w:right="231"/>
        <w:jc w:val="both"/>
        <w:rPr>
          <w:rFonts w:ascii="Arial"/>
          <w:sz w:val="14"/>
        </w:rPr>
      </w:pPr>
      <w:bookmarkStart w:id="0" w:name="_GoBack"/>
      <w:bookmarkEnd w:id="0"/>
    </w:p>
    <w:p w:rsidR="00AE3E37" w:rsidRDefault="00A9710C">
      <w:pPr>
        <w:spacing w:before="62"/>
        <w:ind w:left="4217" w:right="4235"/>
        <w:jc w:val="center"/>
        <w:rPr>
          <w:rFonts w:ascii="Arial"/>
          <w:sz w:val="14"/>
        </w:rPr>
      </w:pPr>
      <w:r>
        <w:rPr>
          <w:rFonts w:ascii="Arial"/>
          <w:sz w:val="14"/>
        </w:rPr>
        <w:t>Email:</w:t>
      </w:r>
      <w:hyperlink r:id="rId12" w:history="1">
        <w:r w:rsidR="000C1AAB" w:rsidRPr="00D90CE9">
          <w:rPr>
            <w:rStyle w:val="Hyperlink"/>
            <w:rFonts w:ascii="Arial"/>
            <w:sz w:val="14"/>
          </w:rPr>
          <w:t>syalcinkaya@marmara.edu.tr</w:t>
        </w:r>
      </w:hyperlink>
      <w:r w:rsidR="000C1AAB">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0CE45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7C3" w:rsidRDefault="00B317C3">
      <w:r>
        <w:separator/>
      </w:r>
    </w:p>
  </w:endnote>
  <w:endnote w:type="continuationSeparator" w:id="0">
    <w:p w:rsidR="00B317C3" w:rsidRDefault="00B31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7C3" w:rsidRDefault="00B317C3">
      <w:r>
        <w:separator/>
      </w:r>
    </w:p>
  </w:footnote>
  <w:footnote w:type="continuationSeparator" w:id="0">
    <w:p w:rsidR="00B317C3" w:rsidRDefault="00B317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51A3949"/>
    <w:multiLevelType w:val="hybridMultilevel"/>
    <w:tmpl w:val="B2283E34"/>
    <w:lvl w:ilvl="0" w:tplc="DE68B978">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1AAB"/>
    <w:rsid w:val="000E2911"/>
    <w:rsid w:val="001263DF"/>
    <w:rsid w:val="00126790"/>
    <w:rsid w:val="00137A53"/>
    <w:rsid w:val="00190024"/>
    <w:rsid w:val="001A0620"/>
    <w:rsid w:val="002314F4"/>
    <w:rsid w:val="002455EC"/>
    <w:rsid w:val="00292ED9"/>
    <w:rsid w:val="002D4E10"/>
    <w:rsid w:val="002E08AD"/>
    <w:rsid w:val="00366442"/>
    <w:rsid w:val="003D63E2"/>
    <w:rsid w:val="003E1B72"/>
    <w:rsid w:val="00404E5B"/>
    <w:rsid w:val="00414F7B"/>
    <w:rsid w:val="004355DC"/>
    <w:rsid w:val="004749B4"/>
    <w:rsid w:val="0048718B"/>
    <w:rsid w:val="00494130"/>
    <w:rsid w:val="004F3523"/>
    <w:rsid w:val="005743AD"/>
    <w:rsid w:val="005973B9"/>
    <w:rsid w:val="005A6CA6"/>
    <w:rsid w:val="005B3A56"/>
    <w:rsid w:val="006060CE"/>
    <w:rsid w:val="0063497F"/>
    <w:rsid w:val="00644B0A"/>
    <w:rsid w:val="006C3FCE"/>
    <w:rsid w:val="006C7016"/>
    <w:rsid w:val="00812D47"/>
    <w:rsid w:val="00850AF9"/>
    <w:rsid w:val="00851168"/>
    <w:rsid w:val="00873DF0"/>
    <w:rsid w:val="008756E6"/>
    <w:rsid w:val="008A08B6"/>
    <w:rsid w:val="009B2D44"/>
    <w:rsid w:val="00A07E82"/>
    <w:rsid w:val="00A764FA"/>
    <w:rsid w:val="00A9710C"/>
    <w:rsid w:val="00AE3E37"/>
    <w:rsid w:val="00AF4CD9"/>
    <w:rsid w:val="00B21A57"/>
    <w:rsid w:val="00B317C3"/>
    <w:rsid w:val="00B93A05"/>
    <w:rsid w:val="00C33602"/>
    <w:rsid w:val="00CD6F55"/>
    <w:rsid w:val="00D45306"/>
    <w:rsid w:val="00DE3104"/>
    <w:rsid w:val="00DF1E89"/>
    <w:rsid w:val="00DF2B1F"/>
    <w:rsid w:val="00E26B10"/>
    <w:rsid w:val="00F72EEA"/>
    <w:rsid w:val="00F84CAE"/>
    <w:rsid w:val="00FA2606"/>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31AF67-4ABB-4541-AB85-D737899E8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rsid w:val="00137A53"/>
    <w:pPr>
      <w:widowControl/>
    </w:pPr>
    <w:rPr>
      <w:rFonts w:eastAsia="SimSun"/>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30370178">
      <w:bodyDiv w:val="1"/>
      <w:marLeft w:val="0"/>
      <w:marRight w:val="0"/>
      <w:marTop w:val="0"/>
      <w:marBottom w:val="0"/>
      <w:divBdr>
        <w:top w:val="none" w:sz="0" w:space="0" w:color="auto"/>
        <w:left w:val="none" w:sz="0" w:space="0" w:color="auto"/>
        <w:bottom w:val="none" w:sz="0" w:space="0" w:color="auto"/>
        <w:right w:val="none" w:sz="0" w:space="0" w:color="auto"/>
      </w:divBdr>
    </w:div>
    <w:div w:id="142240934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82625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yalcinkaya@marmara.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Marmara</cp:lastModifiedBy>
  <cp:revision>26</cp:revision>
  <dcterms:created xsi:type="dcterms:W3CDTF">2021-05-14T23:10:00Z</dcterms:created>
  <dcterms:modified xsi:type="dcterms:W3CDTF">2021-05-15T00:34:00Z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