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7E737F" w:rsidP="00494130">
      <w:pPr>
        <w:pStyle w:val="Heading1"/>
        <w:spacing w:before="170"/>
        <w:ind w:left="0"/>
      </w:pPr>
      <w:r w:rsidRPr="007E737F">
        <w:rPr>
          <w:color w:val="337AB7"/>
        </w:rPr>
        <w:t>Antimicrobial behavior of leached Al–Cu–</w:t>
      </w:r>
      <w:proofErr w:type="spellStart"/>
      <w:r w:rsidRPr="007E737F">
        <w:rPr>
          <w:color w:val="337AB7"/>
        </w:rPr>
        <w:t>Fe</w:t>
      </w:r>
      <w:r w:rsidRPr="007E737F">
        <w:rPr>
          <w:rFonts w:ascii="MS Mincho" w:eastAsia="MS Mincho" w:hAnsi="MS Mincho" w:cs="MS Mincho" w:hint="eastAsia"/>
          <w:color w:val="337AB7"/>
        </w:rPr>
        <w:t>‑</w:t>
      </w:r>
      <w:r w:rsidRPr="007E737F">
        <w:rPr>
          <w:rFonts w:ascii="Cambria Math" w:hAnsi="Cambria Math" w:cs="Cambria Math"/>
          <w:color w:val="337AB7"/>
        </w:rPr>
        <w:t>based</w:t>
      </w:r>
      <w:proofErr w:type="spellEnd"/>
      <w:r w:rsidRPr="007E737F">
        <w:rPr>
          <w:rFonts w:ascii="Cambria Math" w:hAnsi="Cambria Math" w:cs="Cambria Math"/>
          <w:color w:val="337AB7"/>
        </w:rPr>
        <w:t xml:space="preserve"> quasicrystals</w:t>
      </w:r>
    </w:p>
    <w:p w:rsidR="005973B9" w:rsidRDefault="007E737F" w:rsidP="007E737F">
      <w:pPr>
        <w:pStyle w:val="BodyText"/>
        <w:spacing w:before="73" w:line="198" w:lineRule="exact"/>
        <w:ind w:left="100" w:right="5987"/>
        <w:rPr>
          <w:rFonts w:ascii="Arial"/>
        </w:rPr>
      </w:pPr>
      <w:proofErr w:type="spellStart"/>
      <w:r>
        <w:rPr>
          <w:rFonts w:ascii="Arial"/>
        </w:rPr>
        <w:t>Aqib</w:t>
      </w:r>
      <w:proofErr w:type="spellEnd"/>
      <w:r>
        <w:rPr>
          <w:rFonts w:ascii="Arial"/>
        </w:rPr>
        <w:t xml:space="preserve"> </w:t>
      </w:r>
      <w:proofErr w:type="spellStart"/>
      <w:r>
        <w:rPr>
          <w:rFonts w:ascii="Arial"/>
        </w:rPr>
        <w:t>Zahoor</w:t>
      </w:r>
      <w:proofErr w:type="spellEnd"/>
      <w:r>
        <w:rPr>
          <w:rFonts w:ascii="Arial"/>
        </w:rPr>
        <w:t>,</w:t>
      </w:r>
      <w:r w:rsidRPr="007E737F">
        <w:t xml:space="preserve"> </w:t>
      </w:r>
      <w:r w:rsidRPr="007E737F">
        <w:rPr>
          <w:rFonts w:ascii="Arial"/>
        </w:rPr>
        <w:t>Departm</w:t>
      </w:r>
      <w:r>
        <w:rPr>
          <w:rFonts w:ascii="Arial"/>
        </w:rPr>
        <w:t xml:space="preserve">ent of Metallurgy and Materials </w:t>
      </w:r>
      <w:r w:rsidRPr="007E737F">
        <w:rPr>
          <w:rFonts w:ascii="Arial"/>
        </w:rPr>
        <w:t>Engineering,</w:t>
      </w:r>
      <w:r w:rsidR="00FF4F25">
        <w:rPr>
          <w:rFonts w:ascii="Arial"/>
        </w:rPr>
        <w:t xml:space="preserve"> </w:t>
      </w:r>
      <w:r w:rsidRPr="007E737F">
        <w:rPr>
          <w:rFonts w:ascii="Arial"/>
        </w:rPr>
        <w:t xml:space="preserve">Pakistan Institute of Engineering and Applied </w:t>
      </w:r>
      <w:proofErr w:type="spellStart"/>
      <w:r w:rsidRPr="007E737F">
        <w:rPr>
          <w:rFonts w:ascii="Arial"/>
        </w:rPr>
        <w:t>Sciences</w:t>
      </w:r>
      <w:proofErr w:type="gramStart"/>
      <w:r w:rsidRPr="007E737F">
        <w:rPr>
          <w:rFonts w:ascii="Arial"/>
        </w:rPr>
        <w:t>,Islamabad</w:t>
      </w:r>
      <w:proofErr w:type="spellEnd"/>
      <w:proofErr w:type="gramEnd"/>
      <w:r w:rsidRPr="007E737F">
        <w:rPr>
          <w:rFonts w:ascii="Arial"/>
        </w:rPr>
        <w:t xml:space="preserve"> (PIEAS), Islamabad 45650,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A9710C">
      <w:pPr>
        <w:pStyle w:val="BodyText"/>
        <w:spacing w:before="90" w:line="280" w:lineRule="auto"/>
        <w:ind w:left="100"/>
        <w:jc w:val="both"/>
      </w:pPr>
      <w:r>
        <w:t xml:space="preserve">Statement of the Problem: </w:t>
      </w:r>
      <w:r w:rsidR="00FF4F25" w:rsidRPr="002F67D4">
        <w:t xml:space="preserve">Over the years, efforts have been made to develop the new materials which show good antimicrobial properties that can be used to fight infections and provide sterilized surface. The major growing concern of Health-associated infections (HAIs) is to control and prevention infection around the world. Clinical evidence shows that copper and silver has intrinsic ability to reduce the microorganism's burden on surface. However, quasicrystalline (QC) materials are yet to be explored. </w:t>
      </w:r>
      <w:r w:rsidR="007E737F" w:rsidRPr="007E737F">
        <w:t xml:space="preserve">In this study, for the first time, antimicrobial properties of Al–Cu–Fe, Al–Cu–Fe–B and Al–Cu–Fe–Co quasicrystal powders were investigated in the leached and un-leached condition against Gram-negative (E. </w:t>
      </w:r>
      <w:proofErr w:type="spellStart"/>
      <w:r w:rsidR="007E737F" w:rsidRPr="007E737F">
        <w:t>aerogenes</w:t>
      </w:r>
      <w:proofErr w:type="spellEnd"/>
      <w:r w:rsidR="007E737F" w:rsidRPr="007E737F">
        <w:t xml:space="preserve">, K. </w:t>
      </w:r>
      <w:proofErr w:type="spellStart"/>
      <w:r w:rsidR="007E737F" w:rsidRPr="007E737F">
        <w:t>pneumoniae</w:t>
      </w:r>
      <w:proofErr w:type="spellEnd"/>
      <w:r w:rsidR="007E737F" w:rsidRPr="007E737F">
        <w:t xml:space="preserve">) and Gram positive (B. cereus, K. </w:t>
      </w:r>
      <w:proofErr w:type="spellStart"/>
      <w:r w:rsidR="007E737F" w:rsidRPr="007E737F">
        <w:t>rosea</w:t>
      </w:r>
      <w:proofErr w:type="spellEnd"/>
      <w:r w:rsidR="007E737F" w:rsidRPr="007E737F">
        <w:t xml:space="preserve">) bacterial environment. Leaching of the powders in 10 M </w:t>
      </w:r>
      <w:proofErr w:type="spellStart"/>
      <w:r w:rsidR="007E737F" w:rsidRPr="007E737F">
        <w:t>NaOH</w:t>
      </w:r>
      <w:proofErr w:type="spellEnd"/>
      <w:r w:rsidR="007E737F" w:rsidRPr="007E737F">
        <w:t xml:space="preserve"> aqueous solution resulted in the enrichment of Cu and Fe at the surface. Consequently, bacterial activities in the vicinity of the leached quasicrystal powders were inhibited, indicating good antimicrobial characteristics of the leached powders. All the three leached powder samples exhibited antimicrobial activities with a varying degree. From the diameter of inhibition zone, it was deduced that E. </w:t>
      </w:r>
      <w:proofErr w:type="spellStart"/>
      <w:r w:rsidR="007E737F" w:rsidRPr="007E737F">
        <w:t>aerogenes</w:t>
      </w:r>
      <w:proofErr w:type="spellEnd"/>
      <w:r w:rsidR="007E737F" w:rsidRPr="007E737F">
        <w:t xml:space="preserve"> are the most susceptible against the leached powders. The leached Al–Cu–Fe–B and Al–Cu–Fe–Co quasicrystal powders showed </w:t>
      </w:r>
      <w:proofErr w:type="spellStart"/>
      <w:r w:rsidR="007E737F" w:rsidRPr="007E737F">
        <w:t>nanostructured</w:t>
      </w:r>
      <w:proofErr w:type="spellEnd"/>
      <w:r w:rsidR="007E737F" w:rsidRPr="007E737F">
        <w:t xml:space="preserve"> features on the outer surface. During leaching, the icosahedral structure was retained in all the samples.</w:t>
      </w:r>
    </w:p>
    <w:p w:rsidR="00AE3E37" w:rsidRDefault="00A9710C">
      <w:pPr>
        <w:pStyle w:val="Heading3"/>
        <w:spacing w:before="74"/>
      </w:pPr>
      <w:r>
        <w:rPr>
          <w:b w:val="0"/>
        </w:rPr>
        <w:br w:type="column"/>
      </w:r>
      <w:r>
        <w:rPr>
          <w:color w:val="BF5A14"/>
        </w:rPr>
        <w:lastRenderedPageBreak/>
        <w:t>Image</w:t>
      </w:r>
    </w:p>
    <w:p w:rsidR="005475E3" w:rsidRPr="005475E3" w:rsidRDefault="005475E3" w:rsidP="00462169">
      <w:pPr>
        <w:pStyle w:val="BodyText"/>
        <w:spacing w:before="90" w:line="280" w:lineRule="auto"/>
        <w:ind w:left="100"/>
        <w:jc w:val="center"/>
      </w:pPr>
      <w:r w:rsidRPr="005475E3">
        <w:rPr>
          <w:noProof/>
        </w:rPr>
        <w:drawing>
          <wp:inline distT="0" distB="0" distL="0" distR="0">
            <wp:extent cx="2351075" cy="2055571"/>
            <wp:effectExtent l="19050" t="0" r="0" b="0"/>
            <wp:docPr id="23" name="Object 2"/>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56882" cy="6770227"/>
                      <a:chOff x="914400" y="0"/>
                      <a:chExt cx="7256882" cy="6770227"/>
                    </a:xfrm>
                  </a:grpSpPr>
                  <a:grpSp>
                    <a:nvGrpSpPr>
                      <a:cNvPr id="2" name="Group 26"/>
                      <a:cNvGrpSpPr/>
                    </a:nvGrpSpPr>
                    <a:grpSpPr>
                      <a:xfrm>
                        <a:off x="914400" y="0"/>
                        <a:ext cx="7256882" cy="6770227"/>
                        <a:chOff x="914400" y="0"/>
                        <a:chExt cx="7256882" cy="6770227"/>
                      </a:xfrm>
                      <a:noFill/>
                    </a:grpSpPr>
                    <a:pic>
                      <a:nvPicPr>
                        <a:cNvPr id="1026" name="Picture 2"/>
                        <a:cNvPicPr>
                          <a:picLocks noChangeAspect="1" noChangeArrowheads="1"/>
                        </a:cNvPicPr>
                      </a:nvPicPr>
                      <a:blipFill>
                        <a:blip r:embed="rId9"/>
                        <a:srcRect/>
                        <a:stretch>
                          <a:fillRect/>
                        </a:stretch>
                      </a:blipFill>
                      <a:spPr bwMode="auto">
                        <a:xfrm>
                          <a:off x="914400" y="0"/>
                          <a:ext cx="7256882" cy="6770227"/>
                        </a:xfrm>
                        <a:prstGeom prst="rect">
                          <a:avLst/>
                        </a:prstGeom>
                        <a:grpFill/>
                        <a:ln w="9525">
                          <a:noFill/>
                          <a:miter lim="800000"/>
                          <a:headEnd/>
                          <a:tailEnd/>
                        </a:ln>
                        <a:effectLst/>
                      </a:spPr>
                    </a:pic>
                    <a:grpSp>
                      <a:nvGrpSpPr>
                        <a:cNvPr id="4" name="Group 25"/>
                        <a:cNvGrpSpPr/>
                      </a:nvGrpSpPr>
                      <a:grpSpPr>
                        <a:xfrm>
                          <a:off x="1447800" y="877669"/>
                          <a:ext cx="5554847" cy="5142131"/>
                          <a:chOff x="1447800" y="877669"/>
                          <a:chExt cx="5554847" cy="5142131"/>
                        </a:xfrm>
                        <a:grpFill/>
                      </a:grpSpPr>
                      <a:sp>
                        <a:nvSpPr>
                          <a:cNvPr id="3" name="Oval 2"/>
                          <a:cNvSpPr/>
                        </a:nvSpPr>
                        <a:spPr>
                          <a:xfrm>
                            <a:off x="4191000" y="1524000"/>
                            <a:ext cx="990600" cy="1066800"/>
                          </a:xfrm>
                          <a:prstGeom prst="ellipse">
                            <a:avLst/>
                          </a:prstGeom>
                          <a:grp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Oval 3"/>
                          <a:cNvSpPr/>
                        </a:nvSpPr>
                        <a:spPr>
                          <a:xfrm>
                            <a:off x="1828800" y="2514600"/>
                            <a:ext cx="1295400" cy="1219200"/>
                          </a:xfrm>
                          <a:prstGeom prst="ellipse">
                            <a:avLst/>
                          </a:prstGeom>
                          <a:grp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Oval 4"/>
                          <a:cNvSpPr/>
                        </a:nvSpPr>
                        <a:spPr>
                          <a:xfrm>
                            <a:off x="3581400" y="2743200"/>
                            <a:ext cx="1295400" cy="1371600"/>
                          </a:xfrm>
                          <a:prstGeom prst="ellipse">
                            <a:avLst/>
                          </a:prstGeom>
                          <a:grp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Oval 5"/>
                          <a:cNvSpPr/>
                        </a:nvSpPr>
                        <a:spPr>
                          <a:xfrm>
                            <a:off x="5638800" y="1905000"/>
                            <a:ext cx="990600" cy="838200"/>
                          </a:xfrm>
                          <a:prstGeom prst="ellipse">
                            <a:avLst/>
                          </a:prstGeom>
                          <a:grp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Oval 6"/>
                          <a:cNvSpPr/>
                        </a:nvSpPr>
                        <a:spPr>
                          <a:xfrm>
                            <a:off x="1905000" y="4038600"/>
                            <a:ext cx="1219200" cy="1219200"/>
                          </a:xfrm>
                          <a:prstGeom prst="ellipse">
                            <a:avLst/>
                          </a:prstGeom>
                          <a:grp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Oval 7"/>
                          <a:cNvSpPr/>
                        </a:nvSpPr>
                        <a:spPr>
                          <a:xfrm>
                            <a:off x="3124200" y="4114800"/>
                            <a:ext cx="1905000" cy="1905000"/>
                          </a:xfrm>
                          <a:prstGeom prst="ellipse">
                            <a:avLst/>
                          </a:prstGeom>
                          <a:grp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Oval 8"/>
                          <a:cNvSpPr/>
                        </a:nvSpPr>
                        <a:spPr>
                          <a:xfrm>
                            <a:off x="5029200" y="4572000"/>
                            <a:ext cx="1143000" cy="1143000"/>
                          </a:xfrm>
                          <a:prstGeom prst="ellipse">
                            <a:avLst/>
                          </a:prstGeom>
                          <a:grp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TextBox 9"/>
                          <a:cNvSpPr txBox="1"/>
                        </a:nvSpPr>
                        <a:spPr>
                          <a:xfrm>
                            <a:off x="3810000" y="2362200"/>
                            <a:ext cx="429926" cy="369332"/>
                          </a:xfrm>
                          <a:prstGeom prst="rect">
                            <a:avLst/>
                          </a:prstGeom>
                          <a:grp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Cu</a:t>
                              </a:r>
                              <a:endParaRPr lang="en-US" b="1" dirty="0"/>
                            </a:p>
                          </a:txBody>
                          <a:useSpRect/>
                        </a:txSp>
                      </a:sp>
                      <a:sp>
                        <a:nvSpPr>
                          <a:cNvPr id="14" name="Rectangle 13"/>
                          <a:cNvSpPr/>
                        </a:nvSpPr>
                        <a:spPr>
                          <a:xfrm>
                            <a:off x="2514600" y="1154668"/>
                            <a:ext cx="984372" cy="369332"/>
                          </a:xfrm>
                          <a:prstGeom prst="rect">
                            <a:avLst/>
                          </a:prstGeom>
                          <a:grp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Al-Fe-Cu</a:t>
                              </a:r>
                              <a:endParaRPr lang="en-US" dirty="0"/>
                            </a:p>
                          </a:txBody>
                          <a:useSpRect/>
                        </a:txSp>
                      </a:sp>
                      <a:sp>
                        <a:nvSpPr>
                          <a:cNvPr id="17" name="Rectangle 16"/>
                          <a:cNvSpPr/>
                        </a:nvSpPr>
                        <a:spPr>
                          <a:xfrm>
                            <a:off x="4158563" y="877669"/>
                            <a:ext cx="1023037" cy="646331"/>
                          </a:xfrm>
                          <a:prstGeom prst="rect">
                            <a:avLst/>
                          </a:prstGeom>
                          <a:grp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t>Leached </a:t>
                              </a:r>
                              <a:br>
                                <a:rPr lang="en-US" b="1" dirty="0" smtClean="0"/>
                              </a:br>
                              <a:r>
                                <a:rPr lang="en-US" b="1" dirty="0" smtClean="0"/>
                                <a:t>Al-Fe-Cu</a:t>
                              </a:r>
                              <a:endParaRPr lang="en-US" dirty="0"/>
                            </a:p>
                          </a:txBody>
                          <a:useSpRect/>
                        </a:txSp>
                      </a:sp>
                      <a:sp>
                        <a:nvSpPr>
                          <a:cNvPr id="18" name="Rectangle 17"/>
                          <a:cNvSpPr/>
                        </a:nvSpPr>
                        <a:spPr>
                          <a:xfrm>
                            <a:off x="5481636" y="1611868"/>
                            <a:ext cx="1300164" cy="369332"/>
                          </a:xfrm>
                          <a:prstGeom prst="rect">
                            <a:avLst/>
                          </a:prstGeom>
                          <a:grp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Al-Fe-Cu-Co</a:t>
                              </a:r>
                              <a:endParaRPr lang="en-US" dirty="0"/>
                            </a:p>
                          </a:txBody>
                          <a:useSpRect/>
                        </a:txSp>
                      </a:sp>
                      <a:sp>
                        <a:nvSpPr>
                          <a:cNvPr id="21" name="Rectangle 20"/>
                          <a:cNvSpPr/>
                        </a:nvSpPr>
                        <a:spPr>
                          <a:xfrm>
                            <a:off x="1824036" y="1868269"/>
                            <a:ext cx="1300164" cy="646331"/>
                          </a:xfrm>
                          <a:prstGeom prst="rect">
                            <a:avLst/>
                          </a:prstGeom>
                          <a:grp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b="1" dirty="0" smtClean="0"/>
                                <a:t>Leached </a:t>
                              </a:r>
                            </a:p>
                            <a:p>
                              <a:pPr algn="ctr"/>
                              <a:r>
                                <a:rPr lang="en-US" b="1" dirty="0" smtClean="0"/>
                                <a:t>Al-Fe-Cu-Co</a:t>
                              </a:r>
                              <a:endParaRPr lang="en-US" dirty="0"/>
                            </a:p>
                          </a:txBody>
                          <a:useSpRect/>
                        </a:txSp>
                      </a:sp>
                      <a:sp>
                        <a:nvSpPr>
                          <a:cNvPr id="22" name="Rectangle 21"/>
                          <a:cNvSpPr/>
                        </a:nvSpPr>
                        <a:spPr>
                          <a:xfrm>
                            <a:off x="5292252" y="3288268"/>
                            <a:ext cx="1184748" cy="369332"/>
                          </a:xfrm>
                          <a:prstGeom prst="rect">
                            <a:avLst/>
                          </a:prstGeom>
                          <a:grp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Al-Fe-Cu-B</a:t>
                              </a:r>
                              <a:endParaRPr lang="en-US" dirty="0"/>
                            </a:p>
                          </a:txBody>
                          <a:useSpRect/>
                        </a:txSp>
                      </a:sp>
                      <a:sp>
                        <a:nvSpPr>
                          <a:cNvPr id="23" name="Rectangle 22"/>
                          <a:cNvSpPr/>
                        </a:nvSpPr>
                        <a:spPr>
                          <a:xfrm>
                            <a:off x="1447800" y="3745468"/>
                            <a:ext cx="2023118" cy="369332"/>
                          </a:xfrm>
                          <a:prstGeom prst="rect">
                            <a:avLst/>
                          </a:prstGeom>
                          <a:grp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t>Leached Al-Fe-Cu-B</a:t>
                              </a:r>
                              <a:endParaRPr lang="en-US" dirty="0"/>
                            </a:p>
                          </a:txBody>
                          <a:useSpRect/>
                        </a:txSp>
                      </a:sp>
                      <a:sp>
                        <a:nvSpPr>
                          <a:cNvPr id="24" name="Rectangle 23"/>
                          <a:cNvSpPr/>
                        </a:nvSpPr>
                        <a:spPr>
                          <a:xfrm>
                            <a:off x="4642834" y="4050268"/>
                            <a:ext cx="1224566" cy="369332"/>
                          </a:xfrm>
                          <a:prstGeom prst="rect">
                            <a:avLst/>
                          </a:prstGeom>
                          <a:grp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err="1" smtClean="0"/>
                                <a:t>Kanamycin</a:t>
                              </a:r>
                              <a:endParaRPr lang="en-US" dirty="0"/>
                            </a:p>
                          </a:txBody>
                          <a:useSpRect/>
                        </a:txSp>
                      </a:sp>
                      <a:sp>
                        <a:nvSpPr>
                          <a:cNvPr id="25" name="Rectangle 24"/>
                          <a:cNvSpPr/>
                        </a:nvSpPr>
                        <a:spPr>
                          <a:xfrm>
                            <a:off x="5867400" y="4355068"/>
                            <a:ext cx="1135247" cy="369332"/>
                          </a:xfrm>
                          <a:prstGeom prst="rect">
                            <a:avLst/>
                          </a:prstGeom>
                          <a:grp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err="1" smtClean="0"/>
                                <a:t>Ampicillin</a:t>
                              </a:r>
                              <a:endParaRPr lang="en-US" dirty="0"/>
                            </a:p>
                          </a:txBody>
                          <a:useSpRect/>
                        </a:txSp>
                      </a:sp>
                    </a:grpSp>
                  </a:grpSp>
                </lc:lockedCanvas>
              </a:graphicData>
            </a:graphic>
          </wp:inline>
        </w:drawing>
      </w:r>
    </w:p>
    <w:p w:rsidR="005475E3" w:rsidRPr="005475E3" w:rsidRDefault="005475E3" w:rsidP="005475E3">
      <w:pPr>
        <w:pStyle w:val="BodyText"/>
        <w:spacing w:before="90" w:line="280" w:lineRule="auto"/>
        <w:ind w:left="100"/>
        <w:jc w:val="both"/>
      </w:pPr>
      <w:r w:rsidRPr="005475E3">
        <w:rPr>
          <w:b/>
        </w:rPr>
        <w:t>Fig</w:t>
      </w:r>
      <w:r>
        <w:rPr>
          <w:b/>
        </w:rPr>
        <w:t>ure</w:t>
      </w:r>
      <w:r w:rsidRPr="005475E3">
        <w:rPr>
          <w:b/>
        </w:rPr>
        <w:t>:</w:t>
      </w:r>
      <w:r w:rsidRPr="005475E3">
        <w:t xml:space="preserve"> Agar </w:t>
      </w:r>
      <w:proofErr w:type="spellStart"/>
      <w:r w:rsidRPr="005475E3">
        <w:t>petri</w:t>
      </w:r>
      <w:proofErr w:type="spellEnd"/>
      <w:r w:rsidRPr="005475E3">
        <w:t xml:space="preserve"> dish showing DIZ of different samples against E. </w:t>
      </w:r>
      <w:proofErr w:type="spellStart"/>
      <w:r w:rsidRPr="005475E3">
        <w:t>aerogeneson</w:t>
      </w:r>
      <w:proofErr w:type="spellEnd"/>
      <w:r w:rsidRPr="005475E3">
        <w:t>.</w:t>
      </w:r>
    </w:p>
    <w:p w:rsidR="005973B9" w:rsidRDefault="005973B9" w:rsidP="005973B9">
      <w:pPr>
        <w:spacing w:line="204" w:lineRule="exact"/>
        <w:rPr>
          <w:rFonts w:ascii="Arial"/>
          <w:b/>
          <w:sz w:val="20"/>
        </w:rPr>
      </w:pPr>
      <w:r>
        <w:rPr>
          <w:rFonts w:ascii="Arial"/>
          <w:b/>
          <w:color w:val="BF5A14"/>
          <w:sz w:val="20"/>
        </w:rPr>
        <w:t xml:space="preserve">Recent Publications </w:t>
      </w:r>
    </w:p>
    <w:p w:rsidR="005973B9" w:rsidRPr="004B4AA2" w:rsidRDefault="005475E3" w:rsidP="005475E3">
      <w:pPr>
        <w:pStyle w:val="ListParagraph"/>
        <w:numPr>
          <w:ilvl w:val="0"/>
          <w:numId w:val="3"/>
        </w:numPr>
        <w:tabs>
          <w:tab w:val="left" w:pos="384"/>
        </w:tabs>
        <w:spacing w:line="216" w:lineRule="exact"/>
        <w:ind w:right="138" w:hanging="283"/>
        <w:rPr>
          <w:sz w:val="16"/>
          <w:szCs w:val="16"/>
        </w:rPr>
      </w:pPr>
      <w:proofErr w:type="spellStart"/>
      <w:r w:rsidRPr="004B4AA2">
        <w:rPr>
          <w:sz w:val="16"/>
          <w:szCs w:val="16"/>
        </w:rPr>
        <w:t>Zahoor</w:t>
      </w:r>
      <w:proofErr w:type="spellEnd"/>
      <w:r w:rsidRPr="004B4AA2">
        <w:rPr>
          <w:sz w:val="16"/>
          <w:szCs w:val="16"/>
        </w:rPr>
        <w:t xml:space="preserve">, A., T. Aziz, S. </w:t>
      </w:r>
      <w:proofErr w:type="spellStart"/>
      <w:r w:rsidRPr="004B4AA2">
        <w:rPr>
          <w:sz w:val="16"/>
          <w:szCs w:val="16"/>
        </w:rPr>
        <w:t>Zulfiqar</w:t>
      </w:r>
      <w:proofErr w:type="spellEnd"/>
      <w:r w:rsidRPr="004B4AA2">
        <w:rPr>
          <w:sz w:val="16"/>
          <w:szCs w:val="16"/>
        </w:rPr>
        <w:t xml:space="preserve">, A. </w:t>
      </w:r>
      <w:proofErr w:type="spellStart"/>
      <w:r w:rsidRPr="004B4AA2">
        <w:rPr>
          <w:sz w:val="16"/>
          <w:szCs w:val="16"/>
        </w:rPr>
        <w:t>Sadiq</w:t>
      </w:r>
      <w:proofErr w:type="spellEnd"/>
      <w:r w:rsidRPr="004B4AA2">
        <w:rPr>
          <w:sz w:val="16"/>
          <w:szCs w:val="16"/>
        </w:rPr>
        <w:t xml:space="preserve">, R. Ali, R. N. </w:t>
      </w:r>
      <w:proofErr w:type="spellStart"/>
      <w:r w:rsidRPr="004B4AA2">
        <w:rPr>
          <w:sz w:val="16"/>
          <w:szCs w:val="16"/>
        </w:rPr>
        <w:t>Shahid</w:t>
      </w:r>
      <w:proofErr w:type="spellEnd"/>
      <w:r w:rsidRPr="004B4AA2">
        <w:rPr>
          <w:sz w:val="16"/>
          <w:szCs w:val="16"/>
        </w:rPr>
        <w:t xml:space="preserve">, N. u. H. Tariq, A. Shah, K. </w:t>
      </w:r>
      <w:proofErr w:type="spellStart"/>
      <w:r w:rsidRPr="004B4AA2">
        <w:rPr>
          <w:sz w:val="16"/>
          <w:szCs w:val="16"/>
        </w:rPr>
        <w:t>Shehzad</w:t>
      </w:r>
      <w:proofErr w:type="spellEnd"/>
      <w:r w:rsidRPr="004B4AA2">
        <w:rPr>
          <w:sz w:val="16"/>
          <w:szCs w:val="16"/>
        </w:rPr>
        <w:t xml:space="preserve">, F. Ali and H. B. </w:t>
      </w:r>
      <w:proofErr w:type="spellStart"/>
      <w:r w:rsidRPr="004B4AA2">
        <w:rPr>
          <w:sz w:val="16"/>
          <w:szCs w:val="16"/>
        </w:rPr>
        <w:t>Awais</w:t>
      </w:r>
      <w:proofErr w:type="spellEnd"/>
      <w:r w:rsidRPr="004B4AA2">
        <w:rPr>
          <w:sz w:val="16"/>
          <w:szCs w:val="16"/>
        </w:rPr>
        <w:t xml:space="preserve"> (2020). "Antimicrobial behavior of leached Al–Cu–Fe-based quasicrystals." Applied Physics A 126(6): 434.</w:t>
      </w:r>
      <w:r w:rsidR="005973B9" w:rsidRPr="004B4AA2">
        <w:rPr>
          <w:sz w:val="16"/>
          <w:szCs w:val="16"/>
        </w:rPr>
        <w:t xml:space="preserve">Heilig M, </w:t>
      </w:r>
      <w:proofErr w:type="spellStart"/>
      <w:r w:rsidR="005973B9" w:rsidRPr="004B4AA2">
        <w:rPr>
          <w:sz w:val="16"/>
          <w:szCs w:val="16"/>
        </w:rPr>
        <w:t>Egli</w:t>
      </w:r>
      <w:proofErr w:type="spellEnd"/>
      <w:r w:rsidR="005973B9" w:rsidRPr="004B4AA2">
        <w:rPr>
          <w:sz w:val="16"/>
          <w:szCs w:val="16"/>
        </w:rPr>
        <w:t xml:space="preserve"> M (2006) Pharmacological treatment of alcohol dependence: Target symptoms and target mechanisms. Pharmacology and therapeutics 111:855-876.</w:t>
      </w:r>
    </w:p>
    <w:p w:rsidR="008E76AC" w:rsidRPr="004B4AA2" w:rsidRDefault="008E76AC" w:rsidP="008E76AC">
      <w:pPr>
        <w:pStyle w:val="ListParagraph"/>
        <w:numPr>
          <w:ilvl w:val="0"/>
          <w:numId w:val="3"/>
        </w:numPr>
        <w:tabs>
          <w:tab w:val="left" w:pos="384"/>
        </w:tabs>
        <w:spacing w:line="216" w:lineRule="exact"/>
        <w:ind w:right="138" w:hanging="283"/>
        <w:rPr>
          <w:sz w:val="16"/>
          <w:szCs w:val="16"/>
        </w:rPr>
      </w:pPr>
      <w:r w:rsidRPr="004B4AA2">
        <w:rPr>
          <w:sz w:val="16"/>
          <w:szCs w:val="16"/>
        </w:rPr>
        <w:t xml:space="preserve">Vincent, M., R. E. Duval, P. </w:t>
      </w:r>
      <w:proofErr w:type="spellStart"/>
      <w:r w:rsidRPr="004B4AA2">
        <w:rPr>
          <w:sz w:val="16"/>
          <w:szCs w:val="16"/>
        </w:rPr>
        <w:t>Hartemann</w:t>
      </w:r>
      <w:proofErr w:type="spellEnd"/>
      <w:r w:rsidRPr="004B4AA2">
        <w:rPr>
          <w:sz w:val="16"/>
          <w:szCs w:val="16"/>
        </w:rPr>
        <w:t xml:space="preserve"> and M. Engels‐Deutsch (2018). "Contact killing and antimicrobial properties of copper." Journal of applied microbiology 124(5): 1032-1046.</w:t>
      </w:r>
    </w:p>
    <w:p w:rsidR="008E76AC" w:rsidRPr="004B4AA2" w:rsidRDefault="008E76AC" w:rsidP="008E76AC">
      <w:pPr>
        <w:pStyle w:val="ListParagraph"/>
        <w:numPr>
          <w:ilvl w:val="0"/>
          <w:numId w:val="3"/>
        </w:numPr>
        <w:tabs>
          <w:tab w:val="left" w:pos="384"/>
        </w:tabs>
        <w:spacing w:line="216" w:lineRule="exact"/>
        <w:ind w:right="138" w:hanging="283"/>
        <w:rPr>
          <w:sz w:val="16"/>
          <w:szCs w:val="16"/>
        </w:rPr>
      </w:pPr>
      <w:r w:rsidRPr="004B4AA2">
        <w:rPr>
          <w:sz w:val="16"/>
          <w:szCs w:val="16"/>
        </w:rPr>
        <w:t xml:space="preserve">Lowe, M., T. </w:t>
      </w:r>
      <w:proofErr w:type="spellStart"/>
      <w:r w:rsidRPr="004B4AA2">
        <w:rPr>
          <w:sz w:val="16"/>
          <w:szCs w:val="16"/>
        </w:rPr>
        <w:t>Yadav</w:t>
      </w:r>
      <w:proofErr w:type="spellEnd"/>
      <w:r w:rsidRPr="004B4AA2">
        <w:rPr>
          <w:sz w:val="16"/>
          <w:szCs w:val="16"/>
        </w:rPr>
        <w:t xml:space="preserve">, V. </w:t>
      </w:r>
      <w:proofErr w:type="spellStart"/>
      <w:r w:rsidRPr="004B4AA2">
        <w:rPr>
          <w:sz w:val="16"/>
          <w:szCs w:val="16"/>
        </w:rPr>
        <w:t>Fournée</w:t>
      </w:r>
      <w:proofErr w:type="spellEnd"/>
      <w:r w:rsidRPr="004B4AA2">
        <w:rPr>
          <w:sz w:val="16"/>
          <w:szCs w:val="16"/>
        </w:rPr>
        <w:t xml:space="preserve">, J. </w:t>
      </w:r>
      <w:proofErr w:type="spellStart"/>
      <w:r w:rsidRPr="004B4AA2">
        <w:rPr>
          <w:sz w:val="16"/>
          <w:szCs w:val="16"/>
        </w:rPr>
        <w:t>Ledieu</w:t>
      </w:r>
      <w:proofErr w:type="spellEnd"/>
      <w:r w:rsidRPr="004B4AA2">
        <w:rPr>
          <w:sz w:val="16"/>
          <w:szCs w:val="16"/>
        </w:rPr>
        <w:t xml:space="preserve">, R. McGrath and H. Sharma (2015). "Influence of leaching on surface composition, microstructure, and valence band of single grain icosahedral Al-Cu-Fe quasicrystal." The Journal of chemical physics 142(9): 094703. </w:t>
      </w:r>
    </w:p>
    <w:p w:rsidR="008E76AC" w:rsidRPr="004B4AA2" w:rsidRDefault="008E76AC" w:rsidP="008E76AC">
      <w:pPr>
        <w:pStyle w:val="ListParagraph"/>
        <w:numPr>
          <w:ilvl w:val="0"/>
          <w:numId w:val="3"/>
        </w:numPr>
        <w:tabs>
          <w:tab w:val="left" w:pos="384"/>
        </w:tabs>
        <w:spacing w:line="216" w:lineRule="exact"/>
        <w:ind w:right="138" w:hanging="283"/>
        <w:rPr>
          <w:sz w:val="16"/>
          <w:szCs w:val="16"/>
        </w:rPr>
      </w:pPr>
      <w:r w:rsidRPr="004B4AA2">
        <w:rPr>
          <w:sz w:val="16"/>
          <w:szCs w:val="16"/>
        </w:rPr>
        <w:t>4</w:t>
      </w:r>
      <w:r w:rsidR="005973B9" w:rsidRPr="004B4AA2">
        <w:rPr>
          <w:sz w:val="16"/>
          <w:szCs w:val="16"/>
        </w:rPr>
        <w:t xml:space="preserve">. </w:t>
      </w:r>
      <w:r w:rsidRPr="004B4AA2">
        <w:rPr>
          <w:sz w:val="16"/>
          <w:szCs w:val="16"/>
        </w:rPr>
        <w:t xml:space="preserve"> </w:t>
      </w:r>
      <w:proofErr w:type="spellStart"/>
      <w:r w:rsidRPr="004B4AA2">
        <w:rPr>
          <w:sz w:val="16"/>
          <w:szCs w:val="16"/>
        </w:rPr>
        <w:t>Kameoka</w:t>
      </w:r>
      <w:proofErr w:type="spellEnd"/>
      <w:r w:rsidRPr="004B4AA2">
        <w:rPr>
          <w:sz w:val="16"/>
          <w:szCs w:val="16"/>
        </w:rPr>
        <w:t xml:space="preserve">, S., T. Tanabe, F. Satoh, M. Terauchi and A. P. Tsai (2014). "Activation of Al–Cu–Fe quasicrystalline surface: fabrication of a fine </w:t>
      </w:r>
      <w:proofErr w:type="spellStart"/>
      <w:r w:rsidRPr="004B4AA2">
        <w:rPr>
          <w:sz w:val="16"/>
          <w:szCs w:val="16"/>
        </w:rPr>
        <w:t>nanocomposite</w:t>
      </w:r>
      <w:proofErr w:type="spellEnd"/>
      <w:r w:rsidRPr="004B4AA2">
        <w:rPr>
          <w:sz w:val="16"/>
          <w:szCs w:val="16"/>
        </w:rPr>
        <w:t xml:space="preserve"> layer with high catalytic performance." Science and technology of advanced materials 15(1):014801.</w:t>
      </w:r>
    </w:p>
    <w:p w:rsidR="008E76AC" w:rsidRPr="004B4AA2" w:rsidRDefault="008E76AC" w:rsidP="008E76AC">
      <w:pPr>
        <w:pStyle w:val="ListParagraph"/>
        <w:numPr>
          <w:ilvl w:val="0"/>
          <w:numId w:val="3"/>
        </w:numPr>
        <w:tabs>
          <w:tab w:val="left" w:pos="384"/>
        </w:tabs>
        <w:spacing w:line="216" w:lineRule="exact"/>
        <w:ind w:right="138" w:hanging="283"/>
        <w:rPr>
          <w:sz w:val="16"/>
          <w:szCs w:val="16"/>
        </w:rPr>
        <w:sectPr w:rsidR="008E76AC" w:rsidRPr="004B4AA2">
          <w:type w:val="continuous"/>
          <w:pgSz w:w="11910" w:h="16840"/>
          <w:pgMar w:top="1740" w:right="600" w:bottom="840" w:left="620" w:header="720" w:footer="720" w:gutter="0"/>
          <w:cols w:num="2" w:space="720" w:equalWidth="0">
            <w:col w:w="5214" w:space="138"/>
            <w:col w:w="5338"/>
          </w:cols>
        </w:sectPr>
      </w:pPr>
      <w:r w:rsidRPr="004B4AA2">
        <w:rPr>
          <w:sz w:val="16"/>
          <w:szCs w:val="16"/>
        </w:rPr>
        <w:t xml:space="preserve">5. Ali, F. (2012). Mechanical Milling of Al-Cu-Fe Quasicrystals and Their Reinforcement in Aluminum Matrix Composites, </w:t>
      </w:r>
      <w:proofErr w:type="spellStart"/>
      <w:r w:rsidRPr="004B4AA2">
        <w:rPr>
          <w:sz w:val="16"/>
          <w:szCs w:val="16"/>
        </w:rPr>
        <w:t>Verlag</w:t>
      </w:r>
      <w:proofErr w:type="spellEnd"/>
      <w:r w:rsidRPr="004B4AA2">
        <w:rPr>
          <w:sz w:val="16"/>
          <w:szCs w:val="16"/>
        </w:rPr>
        <w:t xml:space="preserve"> </w:t>
      </w:r>
      <w:proofErr w:type="spellStart"/>
      <w:r w:rsidRPr="004B4AA2">
        <w:rPr>
          <w:sz w:val="16"/>
          <w:szCs w:val="16"/>
        </w:rPr>
        <w:t>nicht</w:t>
      </w:r>
      <w:proofErr w:type="spellEnd"/>
      <w:r w:rsidR="00462169" w:rsidRPr="004B4AA2">
        <w:rPr>
          <w:sz w:val="16"/>
          <w:szCs w:val="16"/>
        </w:rPr>
        <w:t xml:space="preserve"> </w:t>
      </w:r>
      <w:proofErr w:type="spellStart"/>
      <w:r w:rsidRPr="004B4AA2">
        <w:rPr>
          <w:sz w:val="16"/>
          <w:szCs w:val="16"/>
        </w:rPr>
        <w:t>ermittelbar</w:t>
      </w:r>
      <w:proofErr w:type="spellEnd"/>
    </w:p>
    <w:p w:rsidR="00AE3E37" w:rsidRDefault="005B382D">
      <w:pPr>
        <w:pStyle w:val="BodyText"/>
        <w:spacing w:line="40" w:lineRule="exact"/>
        <w:ind w:left="2202"/>
        <w:rPr>
          <w:rFonts w:ascii="Calibri"/>
          <w:sz w:val="4"/>
        </w:rPr>
      </w:pPr>
      <w:r w:rsidRPr="005B382D">
        <w:rPr>
          <w:rFonts w:ascii="Calibri"/>
          <w:noProof/>
          <w:sz w:val="4"/>
          <w:lang w:val="en-IN" w:eastAsia="en-IN"/>
        </w:rPr>
      </w:r>
      <w:r w:rsidRPr="005B382D">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B4AA2" w:rsidP="00404E5B">
      <w:pPr>
        <w:spacing w:before="92"/>
        <w:ind w:right="4234"/>
        <w:rPr>
          <w:rFonts w:ascii="Arial"/>
        </w:rPr>
      </w:pPr>
      <w:r>
        <w:rPr>
          <w:noProof/>
        </w:rPr>
        <w:drawing>
          <wp:inline distT="0" distB="0" distL="0" distR="0">
            <wp:extent cx="572171" cy="760781"/>
            <wp:effectExtent l="19050" t="0" r="0" b="0"/>
            <wp:docPr id="26" name="Picture 26" descr="\\172.30.10.24\FacultyShare\Aqib Zahoor\Private\d\apply\8933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72.30.10.24\FacultyShare\Aqib Zahoor\Private\d\apply\8933 copy.jpg"/>
                    <pic:cNvPicPr>
                      <a:picLocks noChangeAspect="1" noChangeArrowheads="1"/>
                    </pic:cNvPicPr>
                  </pic:nvPicPr>
                  <pic:blipFill>
                    <a:blip r:embed="rId10" cstate="print"/>
                    <a:srcRect/>
                    <a:stretch>
                      <a:fillRect/>
                    </a:stretch>
                  </pic:blipFill>
                  <pic:spPr bwMode="auto">
                    <a:xfrm>
                      <a:off x="0" y="0"/>
                      <a:ext cx="574307" cy="763621"/>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4B4AA2">
      <w:pPr>
        <w:spacing w:before="41" w:line="154" w:lineRule="exact"/>
        <w:ind w:left="213" w:right="231"/>
        <w:jc w:val="both"/>
        <w:rPr>
          <w:rFonts w:ascii="Arial"/>
          <w:sz w:val="14"/>
        </w:rPr>
      </w:pPr>
      <w:proofErr w:type="spellStart"/>
      <w:r>
        <w:rPr>
          <w:rFonts w:ascii="Arial"/>
          <w:sz w:val="14"/>
        </w:rPr>
        <w:t>Aqib</w:t>
      </w:r>
      <w:proofErr w:type="spellEnd"/>
      <w:r>
        <w:rPr>
          <w:rFonts w:ascii="Arial"/>
          <w:sz w:val="14"/>
        </w:rPr>
        <w:t xml:space="preserve"> </w:t>
      </w:r>
      <w:proofErr w:type="spellStart"/>
      <w:r>
        <w:rPr>
          <w:rFonts w:ascii="Arial"/>
          <w:sz w:val="14"/>
        </w:rPr>
        <w:t>Zahoor</w:t>
      </w:r>
      <w:proofErr w:type="spellEnd"/>
      <w:r w:rsidR="00A9710C">
        <w:rPr>
          <w:rFonts w:ascii="Arial"/>
          <w:sz w:val="14"/>
        </w:rPr>
        <w:t xml:space="preserve"> has h</w:t>
      </w:r>
      <w:r>
        <w:rPr>
          <w:rFonts w:ascii="Arial"/>
          <w:sz w:val="14"/>
        </w:rPr>
        <w:t xml:space="preserve">is </w:t>
      </w:r>
      <w:r w:rsidR="00A9710C">
        <w:rPr>
          <w:rFonts w:ascii="Arial"/>
          <w:sz w:val="14"/>
        </w:rPr>
        <w:t xml:space="preserve">expertise in </w:t>
      </w:r>
      <w:r>
        <w:rPr>
          <w:rFonts w:ascii="Arial"/>
          <w:sz w:val="14"/>
        </w:rPr>
        <w:t>powder technology. He is currently working on antimicrobial materials</w:t>
      </w:r>
      <w:r w:rsidR="00A9710C">
        <w:rPr>
          <w:rFonts w:ascii="Arial"/>
          <w:sz w:val="14"/>
        </w:rPr>
        <w:t xml:space="preserve">. </w:t>
      </w:r>
      <w:r>
        <w:rPr>
          <w:rFonts w:ascii="Arial"/>
          <w:sz w:val="14"/>
        </w:rPr>
        <w:t xml:space="preserve">He has done his MS in Materials Sciences </w:t>
      </w:r>
      <w:r w:rsidR="00C7036A">
        <w:rPr>
          <w:rFonts w:ascii="Arial"/>
          <w:sz w:val="14"/>
        </w:rPr>
        <w:t>from Pakistan</w:t>
      </w:r>
      <w:r w:rsidRPr="004B4AA2">
        <w:rPr>
          <w:rFonts w:ascii="Arial"/>
          <w:sz w:val="14"/>
        </w:rPr>
        <w:t xml:space="preserve"> Institute of Engineering and Applied </w:t>
      </w:r>
      <w:proofErr w:type="spellStart"/>
      <w:r>
        <w:rPr>
          <w:rFonts w:ascii="Arial"/>
          <w:sz w:val="14"/>
        </w:rPr>
        <w:t>Sciences</w:t>
      </w:r>
      <w:proofErr w:type="gramStart"/>
      <w:r>
        <w:rPr>
          <w:rFonts w:ascii="Arial"/>
          <w:sz w:val="14"/>
        </w:rPr>
        <w:t>,Islamabad</w:t>
      </w:r>
      <w:proofErr w:type="spellEnd"/>
      <w:proofErr w:type="gramEnd"/>
      <w:r>
        <w:rPr>
          <w:rFonts w:ascii="Arial"/>
          <w:sz w:val="14"/>
        </w:rPr>
        <w:t xml:space="preserve"> (PIEAS) that is one of the best university in </w:t>
      </w:r>
      <w:r w:rsidRPr="004B4AA2">
        <w:rPr>
          <w:rFonts w:ascii="Arial"/>
          <w:sz w:val="14"/>
        </w:rPr>
        <w:t>Pakistan</w:t>
      </w: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4B4AA2">
          <w:rPr>
            <w:rStyle w:val="Hyperlink"/>
            <w:rFonts w:ascii="Arial"/>
            <w:sz w:val="14"/>
          </w:rPr>
          <w:t>aqibzahoor@pieas.edu.pk</w:t>
        </w:r>
      </w:hyperlink>
    </w:p>
    <w:p w:rsidR="00AE3E37" w:rsidRDefault="005B382D">
      <w:pPr>
        <w:pStyle w:val="BodyText"/>
        <w:spacing w:before="2"/>
        <w:rPr>
          <w:rFonts w:ascii="Arial"/>
          <w:sz w:val="19"/>
        </w:rPr>
      </w:pPr>
      <w:r w:rsidRPr="005B382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462169" w:rsidRDefault="00A9710C" w:rsidP="00462169">
      <w:pPr>
        <w:spacing w:before="39"/>
        <w:ind w:left="100"/>
        <w:rPr>
          <w:rFonts w:ascii="Minion Pro"/>
          <w:b/>
          <w:sz w:val="20"/>
        </w:rPr>
        <w:sectPr w:rsidR="00AE3E37" w:rsidRPr="00462169" w:rsidSect="00462169">
          <w:type w:val="continuous"/>
          <w:pgSz w:w="11910" w:h="16840"/>
          <w:pgMar w:top="1742" w:right="605" w:bottom="835" w:left="619"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4AA2" w:rsidRDefault="004B4AA2">
      <w:r>
        <w:separator/>
      </w:r>
    </w:p>
  </w:endnote>
  <w:endnote w:type="continuationSeparator" w:id="1">
    <w:p w:rsidR="004B4AA2" w:rsidRDefault="004B4A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A00002EF" w:usb1="420020E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A2" w:rsidRDefault="005B382D">
    <w:pPr>
      <w:pStyle w:val="BodyText"/>
      <w:spacing w:line="14" w:lineRule="auto"/>
      <w:rPr>
        <w:sz w:val="20"/>
      </w:rPr>
    </w:pPr>
    <w:r w:rsidRPr="005B382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4B4AA2" w:rsidRPr="005B3A56" w:rsidRDefault="004B4AA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B4AA2" w:rsidRPr="005B3A56" w:rsidRDefault="004B4AA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5B382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4B4AA2" w:rsidRPr="005B3A56" w:rsidRDefault="004B4AA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B4AA2" w:rsidRPr="005B3A56" w:rsidRDefault="004B4AA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B382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4B4AA2" w:rsidRPr="005B3A56" w:rsidRDefault="004B4AA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B4AA2" w:rsidRPr="005B3A56" w:rsidRDefault="004B4AA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4AA2" w:rsidRDefault="004B4AA2">
      <w:r>
        <w:separator/>
      </w:r>
    </w:p>
  </w:footnote>
  <w:footnote w:type="continuationSeparator" w:id="1">
    <w:p w:rsidR="004B4AA2" w:rsidRDefault="004B4A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A2" w:rsidRDefault="005B382D">
    <w:pPr>
      <w:pStyle w:val="BodyText"/>
      <w:spacing w:line="14" w:lineRule="auto"/>
      <w:rPr>
        <w:sz w:val="20"/>
      </w:rPr>
    </w:pPr>
    <w:r w:rsidRPr="005B382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4B4AA2" w:rsidRPr="005B3A56" w:rsidRDefault="004B4AA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5B382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4B4AA2" w:rsidRPr="005B3A56" w:rsidRDefault="004B4AA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B4AA2" w:rsidRPr="005B3A56" w:rsidRDefault="004B4AA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96735"/>
    <w:rsid w:val="000E2911"/>
    <w:rsid w:val="001263DF"/>
    <w:rsid w:val="002455EC"/>
    <w:rsid w:val="00292ED9"/>
    <w:rsid w:val="00404E5B"/>
    <w:rsid w:val="00414F7B"/>
    <w:rsid w:val="004355DC"/>
    <w:rsid w:val="00462169"/>
    <w:rsid w:val="004749B4"/>
    <w:rsid w:val="00494130"/>
    <w:rsid w:val="004B4AA2"/>
    <w:rsid w:val="004C78E0"/>
    <w:rsid w:val="004F3523"/>
    <w:rsid w:val="005475E3"/>
    <w:rsid w:val="005973B9"/>
    <w:rsid w:val="005B382D"/>
    <w:rsid w:val="005B3A56"/>
    <w:rsid w:val="006060CE"/>
    <w:rsid w:val="0063497F"/>
    <w:rsid w:val="00717FAF"/>
    <w:rsid w:val="007E737F"/>
    <w:rsid w:val="00873DF0"/>
    <w:rsid w:val="008756E6"/>
    <w:rsid w:val="008A08B6"/>
    <w:rsid w:val="008E76AC"/>
    <w:rsid w:val="0092207B"/>
    <w:rsid w:val="009B2D44"/>
    <w:rsid w:val="00A07E82"/>
    <w:rsid w:val="00A9710C"/>
    <w:rsid w:val="00AE3E37"/>
    <w:rsid w:val="00B00B71"/>
    <w:rsid w:val="00B21A57"/>
    <w:rsid w:val="00C33602"/>
    <w:rsid w:val="00C57C69"/>
    <w:rsid w:val="00C7036A"/>
    <w:rsid w:val="00CD6F55"/>
    <w:rsid w:val="00DE3104"/>
    <w:rsid w:val="00E26B10"/>
    <w:rsid w:val="00E50BC9"/>
    <w:rsid w:val="00F72EEA"/>
    <w:rsid w:val="00F84CAE"/>
    <w:rsid w:val="00FC55FC"/>
    <w:rsid w:val="00FF38FC"/>
    <w:rsid w:val="00FF4F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3469</CharactersWithSpaces>
  <SharedDoc>false</SharedDoc>
  <HLinks>
    <vt:vector size="12" baseType="variant">
      <vt:variant>
        <vt:i4>327741</vt:i4>
      </vt:variant>
      <vt:variant>
        <vt:i4>3</vt:i4>
      </vt:variant>
      <vt:variant>
        <vt:i4>0</vt:i4>
      </vt:variant>
      <vt:variant>
        <vt:i4>5</vt:i4>
      </vt:variant>
      <vt:variant>
        <vt:lpwstr>mailto:drXXXXXXX@xxxmail.com</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2020-12-02T11:39:00Z</dcterms:created>
  <dcterms:modified xsi:type="dcterms:W3CDTF">2020-12-04T12:53:00Z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