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C55" w:rsidRDefault="00456C55" w:rsidP="00FA24CD">
      <w:pPr>
        <w:ind w:left="-142" w:right="-303" w:firstLine="1134"/>
        <w:rPr>
          <w:rFonts w:ascii="Times New Roman" w:hAnsi="Times New Roman" w:cs="Times New Roman"/>
          <w:b/>
          <w:bCs/>
          <w:sz w:val="32"/>
          <w:szCs w:val="32"/>
        </w:rPr>
      </w:pPr>
      <w:r>
        <w:rPr>
          <w:rFonts w:ascii="Times New Roman" w:hAnsi="Times New Roman" w:cs="Times New Roman"/>
          <w:b/>
          <w:bCs/>
          <w:sz w:val="32"/>
          <w:szCs w:val="32"/>
        </w:rPr>
        <w:t xml:space="preserve">RETROSPECTIVE STUDY TO ASSESS AXILLARY MANAGEMENT AND ONCOLOGICAL OUTCOME AFTER NEOADJUVANT CHEMOTHERAPY FOR BREAST CANCER PATIENTS </w:t>
      </w:r>
    </w:p>
    <w:p w:rsidR="00456C55" w:rsidRPr="00456C55" w:rsidRDefault="00456C55" w:rsidP="00FA24CD">
      <w:pPr>
        <w:ind w:left="-142" w:right="-303" w:firstLine="1134"/>
        <w:rPr>
          <w:rFonts w:asciiTheme="majorBidi" w:hAnsiTheme="majorBidi" w:cstheme="majorBidi"/>
          <w:b/>
          <w:bCs/>
          <w:sz w:val="28"/>
          <w:szCs w:val="28"/>
        </w:rPr>
      </w:pPr>
      <w:r>
        <w:t xml:space="preserve">Prof.Dr. Galal abounaggah, Prof. Dr. Tarek El-faiomy MD, Prof.Dr.Gehan khedr MD, Mohamed Farouk Asal MD, Moataz Mohamed Ewedah, Surgical Oncology unit, Department of surgery, Faculty of Medicine, Alexandria University, Alexandria, Egypt </w:t>
      </w:r>
    </w:p>
    <w:p w:rsidR="00CE1F11" w:rsidRDefault="00992D72" w:rsidP="00FA24CD">
      <w:pPr>
        <w:ind w:left="-142" w:right="-303" w:firstLine="1134"/>
        <w:rPr>
          <w:rFonts w:asciiTheme="majorBidi" w:hAnsiTheme="majorBidi" w:cstheme="majorBidi"/>
          <w:b/>
          <w:bCs/>
          <w:sz w:val="24"/>
          <w:szCs w:val="24"/>
        </w:rPr>
      </w:pPr>
      <w:r w:rsidRPr="00C17992">
        <w:rPr>
          <w:rFonts w:asciiTheme="majorBidi" w:hAnsiTheme="majorBidi" w:cstheme="majorBidi"/>
          <w:b/>
          <w:bCs/>
          <w:sz w:val="24"/>
          <w:szCs w:val="24"/>
        </w:rPr>
        <w:t xml:space="preserve">Introduction </w:t>
      </w:r>
      <w:r w:rsidRPr="00C17992">
        <w:rPr>
          <w:rFonts w:asciiTheme="majorBidi" w:eastAsia="Times New Roman" w:hAnsiTheme="majorBidi" w:cstheme="majorBidi"/>
          <w:color w:val="241F20"/>
          <w:sz w:val="24"/>
          <w:szCs w:val="24"/>
        </w:rPr>
        <w:t xml:space="preserve">Preoperative chemotherapy (NAC) has been recognized as the   standard of care for patients with locally advanced breast cancer and recently some patients with stage 2 and chemoresponsive subtypes ( HER2 , TNBC). </w:t>
      </w:r>
      <w:r w:rsidRPr="00C17992">
        <w:rPr>
          <w:rFonts w:asciiTheme="majorBidi" w:eastAsia="Times New Roman" w:hAnsiTheme="majorBidi" w:cstheme="majorBidi"/>
          <w:color w:val="1A1A1A"/>
          <w:sz w:val="24"/>
          <w:szCs w:val="24"/>
        </w:rPr>
        <w:t>Lymph node status is the most important prognostic factor in patients who receive neoadjuvant</w:t>
      </w:r>
      <w:r w:rsidR="00FA24CD">
        <w:rPr>
          <w:rFonts w:asciiTheme="majorBidi" w:eastAsia="Times New Roman" w:hAnsiTheme="majorBidi" w:cstheme="majorBidi"/>
          <w:color w:val="1A1A1A"/>
          <w:sz w:val="24"/>
          <w:szCs w:val="24"/>
        </w:rPr>
        <w:t xml:space="preserve"> </w:t>
      </w:r>
      <w:r w:rsidRPr="00C17992">
        <w:rPr>
          <w:rFonts w:asciiTheme="majorBidi" w:eastAsia="Times New Roman" w:hAnsiTheme="majorBidi" w:cstheme="majorBidi"/>
          <w:color w:val="1A1A1A"/>
          <w:sz w:val="24"/>
          <w:szCs w:val="24"/>
        </w:rPr>
        <w:t>therapy.</w:t>
      </w:r>
      <w:r w:rsidRPr="00C17992">
        <w:rPr>
          <w:rFonts w:asciiTheme="majorBidi" w:hAnsiTheme="majorBidi" w:cstheme="majorBidi"/>
          <w:sz w:val="24"/>
          <w:szCs w:val="24"/>
        </w:rPr>
        <w:t>Patients who have a positive lymph node by fine-needle aspiration (or core needle biopsy) before neoadjuvant therapy usually undergo completion axillary dissection at the time of primary tumor resection.</w:t>
      </w:r>
      <w:r w:rsidRPr="00C17992">
        <w:rPr>
          <w:rFonts w:asciiTheme="majorBidi" w:eastAsia="Times New Roman" w:hAnsiTheme="majorBidi" w:cstheme="majorBidi"/>
          <w:sz w:val="24"/>
          <w:szCs w:val="24"/>
        </w:rPr>
        <w:t>ALND has been the standard treatment of the axilla after NAC for many years.SLNB as an alternative can reduce the extent of axillary surgery without compromising the prognostic and predictive value of axillary staging</w:t>
      </w:r>
      <w:r>
        <w:rPr>
          <w:rFonts w:asciiTheme="majorBidi" w:eastAsia="Times New Roman" w:hAnsiTheme="majorBidi" w:cstheme="majorBidi"/>
          <w:sz w:val="24"/>
          <w:szCs w:val="24"/>
        </w:rPr>
        <w:t xml:space="preserve"> </w:t>
      </w:r>
    </w:p>
    <w:p w:rsidR="00992D72" w:rsidRPr="00CE1F11" w:rsidRDefault="00992D72" w:rsidP="00CE1F11">
      <w:pPr>
        <w:ind w:left="-142" w:right="-1255" w:firstLine="142"/>
        <w:rPr>
          <w:rFonts w:asciiTheme="majorBidi" w:hAnsiTheme="majorBidi" w:cstheme="majorBidi"/>
          <w:b/>
          <w:bCs/>
          <w:sz w:val="24"/>
          <w:szCs w:val="24"/>
        </w:rPr>
      </w:pPr>
      <w:r w:rsidRPr="00C17992">
        <w:rPr>
          <w:rFonts w:asciiTheme="majorBidi" w:hAnsiTheme="majorBidi" w:cstheme="majorBidi"/>
          <w:b/>
          <w:bCs/>
          <w:sz w:val="24"/>
          <w:szCs w:val="24"/>
        </w:rPr>
        <w:t xml:space="preserve">Aim of the work </w:t>
      </w:r>
      <w:r w:rsidRPr="00C17992">
        <w:rPr>
          <w:rFonts w:asciiTheme="majorBidi" w:hAnsiTheme="majorBidi" w:cstheme="majorBidi"/>
          <w:sz w:val="24"/>
          <w:szCs w:val="24"/>
        </w:rPr>
        <w:t xml:space="preserve">The aim of this work was to primarly evaluate the effect of neoadjuvant chemotherapy on axillary nodal status .The secondry objective was to evaluate percentage of patients who are eligible for SLNB post neoadjuvant chemotherapy. </w:t>
      </w:r>
    </w:p>
    <w:p w:rsidR="00992D72" w:rsidRPr="00C17992" w:rsidRDefault="00992D72" w:rsidP="00FA24CD">
      <w:pPr>
        <w:ind w:right="-20"/>
        <w:rPr>
          <w:rFonts w:asciiTheme="majorBidi" w:hAnsiTheme="majorBidi" w:cstheme="majorBidi"/>
          <w:sz w:val="24"/>
          <w:szCs w:val="24"/>
        </w:rPr>
      </w:pPr>
      <w:r w:rsidRPr="00C17992">
        <w:rPr>
          <w:rFonts w:asciiTheme="majorBidi" w:hAnsiTheme="majorBidi" w:cstheme="majorBidi"/>
          <w:b/>
          <w:bCs/>
          <w:sz w:val="24"/>
          <w:szCs w:val="24"/>
        </w:rPr>
        <w:t xml:space="preserve">Patients </w:t>
      </w:r>
      <w:r w:rsidRPr="00C17992">
        <w:rPr>
          <w:rFonts w:asciiTheme="majorBidi" w:hAnsiTheme="majorBidi" w:cstheme="majorBidi"/>
          <w:sz w:val="24"/>
          <w:szCs w:val="24"/>
        </w:rPr>
        <w:t xml:space="preserve">This retrospective study was conducted by collecting data during the period from </w:t>
      </w:r>
      <w:r w:rsidRPr="00C17992">
        <w:rPr>
          <w:rFonts w:asciiTheme="majorBidi" w:hAnsiTheme="majorBidi" w:cstheme="majorBidi"/>
          <w:color w:val="000000" w:themeColor="text1"/>
          <w:sz w:val="24"/>
          <w:szCs w:val="24"/>
        </w:rPr>
        <w:t>October 2019 to July 2021.</w:t>
      </w:r>
      <w:r w:rsidRPr="00C17992">
        <w:rPr>
          <w:rFonts w:asciiTheme="majorBidi" w:hAnsiTheme="majorBidi" w:cstheme="majorBidi"/>
          <w:sz w:val="24"/>
          <w:szCs w:val="24"/>
        </w:rPr>
        <w:t xml:space="preserve">The study included sixty four patients who had biopsy proven locally advanced breast cancer with clinically or radiologically positive axillary LNs ,had been received neoadjuvant chemotherapy at clinical oncology department and underwent surgery post neoadjuvant therapy at surgical oncology unit at Alexandria Main University Hospital. </w:t>
      </w:r>
    </w:p>
    <w:p w:rsidR="00992D72" w:rsidRPr="00C17992" w:rsidRDefault="00992D72" w:rsidP="00CE1F11">
      <w:pPr>
        <w:autoSpaceDE w:val="0"/>
        <w:autoSpaceDN w:val="0"/>
        <w:adjustRightInd w:val="0"/>
        <w:spacing w:after="0"/>
        <w:ind w:right="-1255"/>
        <w:rPr>
          <w:rFonts w:asciiTheme="majorBidi" w:hAnsiTheme="majorBidi" w:cstheme="majorBidi"/>
          <w:b/>
          <w:bCs/>
          <w:sz w:val="24"/>
          <w:szCs w:val="24"/>
        </w:rPr>
      </w:pPr>
      <w:r w:rsidRPr="00C17992">
        <w:rPr>
          <w:rFonts w:asciiTheme="majorBidi" w:hAnsiTheme="majorBidi" w:cstheme="majorBidi"/>
          <w:b/>
          <w:bCs/>
          <w:sz w:val="24"/>
          <w:szCs w:val="24"/>
        </w:rPr>
        <w:t>Exclusion criteria:</w:t>
      </w:r>
    </w:p>
    <w:p w:rsidR="00992D72" w:rsidRPr="00C17992" w:rsidRDefault="00992D72" w:rsidP="00CE1F11">
      <w:pPr>
        <w:autoSpaceDE w:val="0"/>
        <w:autoSpaceDN w:val="0"/>
        <w:adjustRightInd w:val="0"/>
        <w:spacing w:after="0"/>
        <w:ind w:right="-1255"/>
        <w:rPr>
          <w:rFonts w:asciiTheme="majorBidi" w:hAnsiTheme="majorBidi" w:cstheme="majorBidi"/>
          <w:sz w:val="24"/>
          <w:szCs w:val="24"/>
        </w:rPr>
      </w:pPr>
      <w:r w:rsidRPr="00C17992">
        <w:rPr>
          <w:rFonts w:asciiTheme="majorBidi" w:hAnsiTheme="majorBidi" w:cstheme="majorBidi"/>
          <w:sz w:val="24"/>
          <w:szCs w:val="24"/>
        </w:rPr>
        <w:t>- Early breast cancer patients.</w:t>
      </w:r>
    </w:p>
    <w:p w:rsidR="00992D72" w:rsidRPr="00C17992" w:rsidRDefault="00992D72" w:rsidP="00CE1F11">
      <w:pPr>
        <w:autoSpaceDE w:val="0"/>
        <w:autoSpaceDN w:val="0"/>
        <w:adjustRightInd w:val="0"/>
        <w:spacing w:after="0"/>
        <w:ind w:right="-1255"/>
        <w:rPr>
          <w:rFonts w:asciiTheme="majorBidi" w:eastAsia="TimesNewRomanPSMT" w:hAnsiTheme="majorBidi" w:cstheme="majorBidi"/>
          <w:sz w:val="24"/>
          <w:szCs w:val="24"/>
        </w:rPr>
      </w:pPr>
      <w:r w:rsidRPr="00C17992">
        <w:rPr>
          <w:rFonts w:asciiTheme="majorBidi" w:hAnsiTheme="majorBidi" w:cstheme="majorBidi"/>
          <w:sz w:val="24"/>
          <w:szCs w:val="24"/>
        </w:rPr>
        <w:t xml:space="preserve">- </w:t>
      </w:r>
      <w:r w:rsidRPr="00C17992">
        <w:rPr>
          <w:rFonts w:asciiTheme="majorBidi" w:eastAsia="TimesNewRomanPSMT" w:hAnsiTheme="majorBidi" w:cstheme="majorBidi"/>
          <w:sz w:val="24"/>
          <w:szCs w:val="24"/>
        </w:rPr>
        <w:t>Metastatic Stage IV breast cancer patients.</w:t>
      </w:r>
    </w:p>
    <w:p w:rsidR="00992D72" w:rsidRPr="00C17992" w:rsidRDefault="00992D72" w:rsidP="00CE1F11">
      <w:pPr>
        <w:autoSpaceDE w:val="0"/>
        <w:autoSpaceDN w:val="0"/>
        <w:adjustRightInd w:val="0"/>
        <w:spacing w:after="0"/>
        <w:ind w:right="-1255"/>
        <w:rPr>
          <w:rFonts w:asciiTheme="majorBidi" w:hAnsiTheme="majorBidi" w:cstheme="majorBidi"/>
          <w:sz w:val="24"/>
          <w:szCs w:val="24"/>
        </w:rPr>
      </w:pPr>
      <w:r w:rsidRPr="00C17992">
        <w:rPr>
          <w:rFonts w:asciiTheme="majorBidi" w:hAnsiTheme="majorBidi" w:cstheme="majorBidi"/>
          <w:sz w:val="24"/>
          <w:szCs w:val="24"/>
        </w:rPr>
        <w:t>- Unfit patients for neoadjuvant therapy.</w:t>
      </w:r>
    </w:p>
    <w:p w:rsidR="00992D72" w:rsidRPr="00C17992" w:rsidRDefault="00992D72" w:rsidP="00CE1F11">
      <w:pPr>
        <w:autoSpaceDE w:val="0"/>
        <w:autoSpaceDN w:val="0"/>
        <w:adjustRightInd w:val="0"/>
        <w:spacing w:after="0"/>
        <w:ind w:right="-1255"/>
        <w:rPr>
          <w:rFonts w:asciiTheme="majorBidi" w:hAnsiTheme="majorBidi" w:cstheme="majorBidi"/>
          <w:sz w:val="24"/>
          <w:szCs w:val="24"/>
        </w:rPr>
      </w:pPr>
      <w:r w:rsidRPr="00C17992">
        <w:rPr>
          <w:rFonts w:asciiTheme="majorBidi" w:hAnsiTheme="majorBidi" w:cstheme="majorBidi"/>
          <w:sz w:val="24"/>
          <w:szCs w:val="24"/>
        </w:rPr>
        <w:t>- Patients refusing neoadjuvant therapy.</w:t>
      </w:r>
    </w:p>
    <w:p w:rsidR="00992D72" w:rsidRPr="00C17992" w:rsidRDefault="00992D72" w:rsidP="00CE1F11">
      <w:pPr>
        <w:autoSpaceDE w:val="0"/>
        <w:autoSpaceDN w:val="0"/>
        <w:adjustRightInd w:val="0"/>
        <w:spacing w:after="0"/>
        <w:ind w:right="-1255"/>
        <w:rPr>
          <w:rFonts w:asciiTheme="majorBidi" w:eastAsia="TimesNewRomanPSMT" w:hAnsiTheme="majorBidi" w:cstheme="majorBidi"/>
          <w:sz w:val="24"/>
          <w:szCs w:val="24"/>
        </w:rPr>
      </w:pPr>
      <w:r w:rsidRPr="00C17992">
        <w:rPr>
          <w:rFonts w:asciiTheme="majorBidi" w:hAnsiTheme="majorBidi" w:cstheme="majorBidi"/>
          <w:sz w:val="24"/>
          <w:szCs w:val="24"/>
        </w:rPr>
        <w:t xml:space="preserve">- </w:t>
      </w:r>
      <w:r w:rsidRPr="00C17992">
        <w:rPr>
          <w:rFonts w:asciiTheme="majorBidi" w:eastAsia="TimesNewRomanPSMT" w:hAnsiTheme="majorBidi" w:cstheme="majorBidi"/>
          <w:sz w:val="24"/>
          <w:szCs w:val="24"/>
        </w:rPr>
        <w:t>Patients aged &lt;18 years or &gt; 75 years.</w:t>
      </w:r>
    </w:p>
    <w:p w:rsidR="00992D72" w:rsidRPr="00C17992" w:rsidRDefault="00992D72" w:rsidP="00CE1F11">
      <w:pPr>
        <w:ind w:right="-1255"/>
        <w:rPr>
          <w:rFonts w:asciiTheme="majorBidi" w:hAnsiTheme="majorBidi" w:cstheme="majorBidi"/>
          <w:sz w:val="24"/>
          <w:szCs w:val="24"/>
        </w:rPr>
      </w:pPr>
      <w:r w:rsidRPr="00C17992">
        <w:rPr>
          <w:rFonts w:asciiTheme="majorBidi" w:hAnsiTheme="majorBidi" w:cstheme="majorBidi"/>
          <w:sz w:val="24"/>
          <w:szCs w:val="24"/>
        </w:rPr>
        <w:t>- Patients with clinically and radiologically negative axilla.</w:t>
      </w:r>
      <w:r w:rsidRPr="00C17992">
        <w:rPr>
          <w:rFonts w:asciiTheme="majorBidi" w:hAnsiTheme="majorBidi" w:cstheme="majorBidi"/>
          <w:b/>
          <w:bCs/>
          <w:sz w:val="24"/>
          <w:szCs w:val="24"/>
        </w:rPr>
        <w:t xml:space="preserve"> </w:t>
      </w:r>
    </w:p>
    <w:p w:rsidR="00992D72" w:rsidRPr="00C17992" w:rsidRDefault="00992D72" w:rsidP="00CE1F11">
      <w:pPr>
        <w:autoSpaceDE w:val="0"/>
        <w:autoSpaceDN w:val="0"/>
        <w:adjustRightInd w:val="0"/>
        <w:spacing w:after="0" w:line="360" w:lineRule="auto"/>
        <w:ind w:right="-1255"/>
        <w:rPr>
          <w:rFonts w:asciiTheme="majorBidi" w:hAnsiTheme="majorBidi" w:cstheme="majorBidi"/>
          <w:sz w:val="24"/>
          <w:szCs w:val="24"/>
        </w:rPr>
      </w:pPr>
      <w:r w:rsidRPr="00C17992">
        <w:rPr>
          <w:rFonts w:asciiTheme="majorBidi" w:hAnsiTheme="majorBidi" w:cstheme="majorBidi"/>
          <w:b/>
          <w:bCs/>
          <w:sz w:val="24"/>
          <w:szCs w:val="24"/>
        </w:rPr>
        <w:lastRenderedPageBreak/>
        <w:t xml:space="preserve">Methods </w:t>
      </w:r>
      <w:r w:rsidRPr="00C17992">
        <w:rPr>
          <w:rFonts w:asciiTheme="majorBidi" w:hAnsiTheme="majorBidi" w:cstheme="majorBidi"/>
          <w:sz w:val="24"/>
          <w:szCs w:val="24"/>
        </w:rPr>
        <w:t>Data were collected retrospectively to assess the oncological and surgical outcome after completing NAC.</w:t>
      </w:r>
    </w:p>
    <w:p w:rsidR="00992D72" w:rsidRPr="00C17992" w:rsidRDefault="00992D72" w:rsidP="00CE1F11">
      <w:pPr>
        <w:ind w:right="-1255"/>
        <w:rPr>
          <w:rFonts w:asciiTheme="majorBidi" w:hAnsiTheme="majorBidi" w:cstheme="majorBidi"/>
          <w:sz w:val="24"/>
          <w:szCs w:val="24"/>
        </w:rPr>
      </w:pPr>
      <w:r w:rsidRPr="00C17992">
        <w:rPr>
          <w:rFonts w:asciiTheme="majorBidi" w:hAnsiTheme="majorBidi" w:cstheme="majorBidi"/>
          <w:sz w:val="24"/>
          <w:szCs w:val="24"/>
        </w:rPr>
        <w:t xml:space="preserve">A total number of 450 patients files were reviewed and only sixty four patients were eligible patients to be included in our study. </w:t>
      </w:r>
    </w:p>
    <w:p w:rsidR="00992D72" w:rsidRPr="00C17992" w:rsidRDefault="00992D72" w:rsidP="00CE1F11">
      <w:pPr>
        <w:ind w:right="-1255"/>
        <w:rPr>
          <w:rFonts w:asciiTheme="majorBidi" w:hAnsiTheme="majorBidi" w:cstheme="majorBidi"/>
          <w:b/>
          <w:bCs/>
          <w:sz w:val="24"/>
          <w:szCs w:val="24"/>
        </w:rPr>
      </w:pPr>
      <w:r w:rsidRPr="00C17992">
        <w:rPr>
          <w:rFonts w:asciiTheme="majorBidi" w:hAnsiTheme="majorBidi" w:cstheme="majorBidi"/>
          <w:b/>
          <w:bCs/>
          <w:sz w:val="24"/>
          <w:szCs w:val="24"/>
        </w:rPr>
        <w:t>Results</w:t>
      </w:r>
    </w:p>
    <w:p w:rsidR="00992D72" w:rsidRPr="00C17992" w:rsidRDefault="00992D72" w:rsidP="00CE1F11">
      <w:pPr>
        <w:pStyle w:val="ListParagraph"/>
        <w:numPr>
          <w:ilvl w:val="0"/>
          <w:numId w:val="1"/>
        </w:numPr>
        <w:spacing w:after="0" w:line="240" w:lineRule="auto"/>
        <w:ind w:right="-1255"/>
        <w:rPr>
          <w:rFonts w:asciiTheme="majorBidi" w:eastAsiaTheme="minorHAnsi" w:hAnsiTheme="majorBidi" w:cstheme="majorBidi"/>
          <w:b/>
          <w:bCs/>
          <w:sz w:val="24"/>
          <w:szCs w:val="24"/>
        </w:rPr>
      </w:pPr>
      <w:r w:rsidRPr="00C17992">
        <w:rPr>
          <w:rFonts w:asciiTheme="majorBidi" w:hAnsiTheme="majorBidi" w:cstheme="majorBidi"/>
          <w:b/>
          <w:bCs/>
          <w:sz w:val="24"/>
          <w:szCs w:val="24"/>
        </w:rPr>
        <w:t xml:space="preserve">Results </w:t>
      </w:r>
      <w:r w:rsidRPr="00C17992">
        <w:rPr>
          <w:rFonts w:asciiTheme="majorBidi" w:eastAsiaTheme="minorHAnsi" w:hAnsiTheme="majorBidi" w:cstheme="majorBidi"/>
          <w:b/>
          <w:bCs/>
          <w:sz w:val="24"/>
          <w:szCs w:val="24"/>
        </w:rPr>
        <w:t>correlation between ypN0 and post neoadjuvant axillary ultrasound</w:t>
      </w:r>
    </w:p>
    <w:p w:rsidR="00992D72" w:rsidRPr="00C17992" w:rsidRDefault="00992D72" w:rsidP="00CE1F11">
      <w:pPr>
        <w:spacing w:after="0" w:line="240" w:lineRule="auto"/>
        <w:ind w:right="-1255"/>
        <w:rPr>
          <w:rFonts w:asciiTheme="majorBidi" w:eastAsiaTheme="minorHAnsi" w:hAnsiTheme="majorBidi" w:cstheme="majorBidi"/>
          <w:b/>
          <w:bCs/>
          <w:sz w:val="24"/>
          <w:szCs w:val="24"/>
        </w:rPr>
      </w:pPr>
      <w:r w:rsidRPr="00C17992">
        <w:rPr>
          <w:rFonts w:asciiTheme="majorBidi" w:eastAsiaTheme="minorHAnsi" w:hAnsiTheme="majorBidi" w:cstheme="majorBidi"/>
          <w:b/>
          <w:bCs/>
          <w:sz w:val="24"/>
          <w:szCs w:val="24"/>
        </w:rPr>
        <w:t>Table (24):</w:t>
      </w:r>
      <w:r w:rsidRPr="00C17992">
        <w:rPr>
          <w:rFonts w:asciiTheme="majorBidi" w:eastAsiaTheme="minorHAnsi" w:hAnsiTheme="majorBidi" w:cstheme="majorBidi"/>
          <w:b/>
          <w:bCs/>
          <w:sz w:val="24"/>
          <w:szCs w:val="24"/>
        </w:rPr>
        <w:tab/>
        <w:t>Relation between pN</w:t>
      </w:r>
      <w:r w:rsidRPr="00C17992">
        <w:rPr>
          <w:rFonts w:asciiTheme="majorBidi" w:eastAsiaTheme="minorHAnsi" w:hAnsiTheme="majorBidi" w:cstheme="majorBidi"/>
          <w:b/>
          <w:bCs/>
          <w:sz w:val="24"/>
          <w:szCs w:val="24"/>
          <w:vertAlign w:val="subscript"/>
        </w:rPr>
        <w:t>0</w:t>
      </w:r>
      <w:r w:rsidRPr="00C17992">
        <w:rPr>
          <w:rFonts w:asciiTheme="majorBidi" w:eastAsiaTheme="minorHAnsi" w:hAnsiTheme="majorBidi" w:cstheme="majorBidi"/>
          <w:b/>
          <w:bCs/>
          <w:sz w:val="24"/>
          <w:szCs w:val="24"/>
        </w:rPr>
        <w:t xml:space="preserve"> with </w:t>
      </w:r>
      <w:r w:rsidRPr="00C17992">
        <w:rPr>
          <w:rFonts w:asciiTheme="majorBidi" w:hAnsiTheme="majorBidi" w:cstheme="majorBidi"/>
          <w:b/>
          <w:bCs/>
          <w:color w:val="000000" w:themeColor="text1"/>
          <w:sz w:val="24"/>
          <w:szCs w:val="24"/>
        </w:rPr>
        <w:t>Ultrasound axilla postneoadjuvant</w:t>
      </w:r>
      <w:r w:rsidRPr="00C17992">
        <w:rPr>
          <w:rFonts w:asciiTheme="majorBidi" w:eastAsiaTheme="minorHAnsi" w:hAnsiTheme="majorBidi" w:cstheme="majorBidi"/>
          <w:b/>
          <w:bCs/>
          <w:sz w:val="24"/>
          <w:szCs w:val="24"/>
        </w:rPr>
        <w:br/>
        <w:t>(n = 64)</w:t>
      </w:r>
    </w:p>
    <w:p w:rsidR="00992D72" w:rsidRPr="00C17992" w:rsidRDefault="00992D72" w:rsidP="00CE1F11">
      <w:pPr>
        <w:spacing w:after="0" w:line="240" w:lineRule="auto"/>
        <w:ind w:right="-1255"/>
        <w:rPr>
          <w:rFonts w:asciiTheme="majorBidi" w:eastAsiaTheme="minorHAnsi" w:hAnsiTheme="majorBidi" w:cstheme="majorBidi"/>
          <w:b/>
          <w:bCs/>
          <w:sz w:val="24"/>
          <w:szCs w:val="24"/>
        </w:rPr>
      </w:pPr>
      <w:r w:rsidRPr="00C17992">
        <w:rPr>
          <w:rFonts w:asciiTheme="majorBidi" w:eastAsiaTheme="minorHAnsi" w:hAnsiTheme="majorBidi" w:cstheme="majorBidi"/>
          <w:b/>
          <w:bCs/>
          <w:sz w:val="24"/>
          <w:szCs w:val="24"/>
        </w:rPr>
        <w:t xml:space="preserve"> </w:t>
      </w:r>
    </w:p>
    <w:tbl>
      <w:tblPr>
        <w:tblW w:w="12900" w:type="dxa"/>
        <w:tblInd w:w="-34" w:type="dxa"/>
        <w:tblBorders>
          <w:top w:val="thinThickSmallGap" w:sz="18" w:space="0" w:color="auto"/>
          <w:left w:val="thinThickSmallGap" w:sz="18" w:space="0" w:color="auto"/>
          <w:bottom w:val="thickThinSmallGap" w:sz="18" w:space="0" w:color="auto"/>
          <w:right w:val="thickThinSmallGap" w:sz="18" w:space="0" w:color="auto"/>
          <w:insideH w:val="single" w:sz="4" w:space="0" w:color="auto"/>
          <w:insideV w:val="single" w:sz="4" w:space="0" w:color="auto"/>
        </w:tblBorders>
        <w:tblLayout w:type="fixed"/>
        <w:tblLook w:val="04A0"/>
      </w:tblPr>
      <w:tblGrid>
        <w:gridCol w:w="2586"/>
        <w:gridCol w:w="851"/>
        <w:gridCol w:w="2268"/>
        <w:gridCol w:w="1134"/>
        <w:gridCol w:w="6061"/>
      </w:tblGrid>
      <w:tr w:rsidR="00992D72" w:rsidRPr="00C17992" w:rsidTr="001855C8">
        <w:tc>
          <w:tcPr>
            <w:tcW w:w="2586" w:type="dxa"/>
            <w:tcBorders>
              <w:top w:val="thinThickSmallGap" w:sz="18" w:space="0" w:color="auto"/>
              <w:bottom w:val="single" w:sz="12" w:space="0" w:color="auto"/>
              <w:right w:val="single" w:sz="4" w:space="0" w:color="auto"/>
            </w:tcBorders>
            <w:vAlign w:val="center"/>
          </w:tcPr>
          <w:p w:rsidR="00992D72" w:rsidRPr="00C17992" w:rsidRDefault="00992D72" w:rsidP="00CE1F11">
            <w:pPr>
              <w:spacing w:before="80" w:after="40"/>
              <w:ind w:right="-1255"/>
              <w:jc w:val="center"/>
              <w:rPr>
                <w:rFonts w:asciiTheme="majorBidi" w:hAnsiTheme="majorBidi" w:cstheme="majorBidi"/>
                <w:b/>
                <w:bCs/>
                <w:color w:val="000000" w:themeColor="text1"/>
                <w:sz w:val="24"/>
                <w:szCs w:val="24"/>
              </w:rPr>
            </w:pPr>
            <w:r w:rsidRPr="00C17992">
              <w:rPr>
                <w:rFonts w:asciiTheme="majorBidi" w:hAnsiTheme="majorBidi" w:cstheme="majorBidi"/>
                <w:b/>
                <w:bCs/>
                <w:color w:val="000000" w:themeColor="text1"/>
                <w:sz w:val="24"/>
                <w:szCs w:val="24"/>
              </w:rPr>
              <w:t>Ultrasound axilla postneoadjuvant</w:t>
            </w:r>
          </w:p>
        </w:tc>
        <w:tc>
          <w:tcPr>
            <w:tcW w:w="851" w:type="dxa"/>
            <w:tcBorders>
              <w:top w:val="thinThickSmallGap" w:sz="18" w:space="0" w:color="auto"/>
              <w:left w:val="single" w:sz="4" w:space="0" w:color="auto"/>
              <w:bottom w:val="single" w:sz="12" w:space="0" w:color="auto"/>
              <w:right w:val="single" w:sz="12" w:space="0" w:color="auto"/>
            </w:tcBorders>
            <w:vAlign w:val="center"/>
          </w:tcPr>
          <w:p w:rsidR="00992D72" w:rsidRPr="00C17992" w:rsidRDefault="00992D72" w:rsidP="00CE1F11">
            <w:pPr>
              <w:spacing w:before="80" w:after="40"/>
              <w:ind w:right="-1255"/>
              <w:jc w:val="center"/>
              <w:rPr>
                <w:rFonts w:asciiTheme="majorBidi" w:hAnsiTheme="majorBidi" w:cstheme="majorBidi"/>
                <w:b/>
                <w:bCs/>
                <w:sz w:val="24"/>
                <w:szCs w:val="24"/>
              </w:rPr>
            </w:pPr>
            <w:r w:rsidRPr="00C17992">
              <w:rPr>
                <w:rFonts w:asciiTheme="majorBidi" w:hAnsiTheme="majorBidi" w:cstheme="majorBidi"/>
                <w:b/>
                <w:bCs/>
                <w:sz w:val="24"/>
                <w:szCs w:val="24"/>
              </w:rPr>
              <w:t>N</w:t>
            </w:r>
          </w:p>
        </w:tc>
        <w:tc>
          <w:tcPr>
            <w:tcW w:w="2268" w:type="dxa"/>
            <w:tcBorders>
              <w:top w:val="thinThickSmallGap" w:sz="18" w:space="0" w:color="auto"/>
              <w:left w:val="single" w:sz="12" w:space="0" w:color="auto"/>
              <w:bottom w:val="single" w:sz="12" w:space="0" w:color="auto"/>
              <w:right w:val="single" w:sz="12" w:space="0" w:color="auto"/>
            </w:tcBorders>
            <w:vAlign w:val="center"/>
          </w:tcPr>
          <w:p w:rsidR="00992D72" w:rsidRPr="00C17992" w:rsidRDefault="00992D72" w:rsidP="00CE1F11">
            <w:pPr>
              <w:spacing w:before="80" w:after="40"/>
              <w:ind w:right="-1255"/>
              <w:jc w:val="center"/>
              <w:rPr>
                <w:rFonts w:asciiTheme="majorBidi" w:hAnsiTheme="majorBidi" w:cstheme="majorBidi"/>
                <w:b/>
                <w:bCs/>
                <w:sz w:val="24"/>
                <w:szCs w:val="24"/>
              </w:rPr>
            </w:pPr>
            <w:r w:rsidRPr="00C17992">
              <w:rPr>
                <w:rFonts w:asciiTheme="majorBidi" w:hAnsiTheme="majorBidi" w:cstheme="majorBidi"/>
                <w:b/>
                <w:bCs/>
                <w:sz w:val="24"/>
                <w:szCs w:val="24"/>
              </w:rPr>
              <w:t>ypN</w:t>
            </w:r>
            <w:r w:rsidRPr="00C17992">
              <w:rPr>
                <w:rFonts w:asciiTheme="majorBidi" w:hAnsiTheme="majorBidi" w:cstheme="majorBidi"/>
                <w:b/>
                <w:bCs/>
                <w:sz w:val="24"/>
                <w:szCs w:val="24"/>
                <w:vertAlign w:val="subscript"/>
              </w:rPr>
              <w:t>0</w:t>
            </w:r>
          </w:p>
        </w:tc>
        <w:tc>
          <w:tcPr>
            <w:tcW w:w="1134" w:type="dxa"/>
            <w:tcBorders>
              <w:top w:val="thinThickSmallGap" w:sz="18" w:space="0" w:color="auto"/>
              <w:left w:val="single" w:sz="12" w:space="0" w:color="auto"/>
              <w:bottom w:val="single" w:sz="12" w:space="0" w:color="auto"/>
            </w:tcBorders>
            <w:vAlign w:val="center"/>
          </w:tcPr>
          <w:p w:rsidR="00992D72" w:rsidRPr="00C17992" w:rsidRDefault="00992D72" w:rsidP="00CE1F11">
            <w:pPr>
              <w:spacing w:before="80" w:after="40"/>
              <w:ind w:right="-1255"/>
              <w:jc w:val="center"/>
              <w:rPr>
                <w:rFonts w:asciiTheme="majorBidi" w:hAnsiTheme="majorBidi" w:cstheme="majorBidi"/>
                <w:b/>
                <w:bCs/>
                <w:sz w:val="24"/>
                <w:szCs w:val="24"/>
                <w:highlight w:val="yellow"/>
              </w:rPr>
            </w:pPr>
            <w:r w:rsidRPr="00C17992">
              <w:rPr>
                <w:rFonts w:asciiTheme="majorBidi" w:hAnsiTheme="majorBidi" w:cstheme="majorBidi"/>
                <w:b/>
                <w:bCs/>
                <w:sz w:val="24"/>
                <w:szCs w:val="24"/>
                <w:highlight w:val="yellow"/>
              </w:rPr>
              <w:t></w:t>
            </w:r>
            <w:r w:rsidRPr="00C17992">
              <w:rPr>
                <w:rFonts w:asciiTheme="majorBidi" w:hAnsiTheme="majorBidi" w:cstheme="majorBidi"/>
                <w:b/>
                <w:bCs/>
                <w:sz w:val="24"/>
                <w:szCs w:val="24"/>
                <w:highlight w:val="yellow"/>
                <w:vertAlign w:val="superscript"/>
              </w:rPr>
              <w:t></w:t>
            </w:r>
          </w:p>
        </w:tc>
        <w:tc>
          <w:tcPr>
            <w:tcW w:w="6061" w:type="dxa"/>
            <w:tcBorders>
              <w:top w:val="thinThickSmallGap" w:sz="18" w:space="0" w:color="auto"/>
              <w:bottom w:val="single" w:sz="12" w:space="0" w:color="auto"/>
            </w:tcBorders>
            <w:vAlign w:val="center"/>
          </w:tcPr>
          <w:p w:rsidR="00992D72" w:rsidRPr="00C17992" w:rsidRDefault="00992D72" w:rsidP="00CE1F11">
            <w:pPr>
              <w:spacing w:before="80" w:after="40"/>
              <w:ind w:right="-1255"/>
              <w:jc w:val="center"/>
              <w:rPr>
                <w:rFonts w:asciiTheme="majorBidi" w:hAnsiTheme="majorBidi" w:cstheme="majorBidi"/>
                <w:b/>
                <w:bCs/>
                <w:sz w:val="24"/>
                <w:szCs w:val="24"/>
              </w:rPr>
            </w:pPr>
            <w:r w:rsidRPr="00C17992">
              <w:rPr>
                <w:rFonts w:asciiTheme="majorBidi" w:hAnsiTheme="majorBidi" w:cstheme="majorBidi"/>
                <w:b/>
                <w:bCs/>
                <w:sz w:val="24"/>
                <w:szCs w:val="24"/>
                <w:vertAlign w:val="superscript"/>
              </w:rPr>
              <w:t>MC</w:t>
            </w:r>
            <w:r w:rsidRPr="00C17992">
              <w:rPr>
                <w:rFonts w:asciiTheme="majorBidi" w:hAnsiTheme="majorBidi" w:cstheme="majorBidi"/>
                <w:b/>
                <w:bCs/>
                <w:sz w:val="24"/>
                <w:szCs w:val="24"/>
              </w:rPr>
              <w:t>p</w:t>
            </w:r>
          </w:p>
        </w:tc>
      </w:tr>
      <w:tr w:rsidR="00992D72" w:rsidRPr="00C17992" w:rsidTr="001855C8">
        <w:tc>
          <w:tcPr>
            <w:tcW w:w="2586" w:type="dxa"/>
            <w:tcBorders>
              <w:top w:val="nil"/>
              <w:bottom w:val="nil"/>
              <w:right w:val="single" w:sz="4" w:space="0" w:color="auto"/>
            </w:tcBorders>
            <w:vAlign w:val="center"/>
          </w:tcPr>
          <w:p w:rsidR="00992D72" w:rsidRPr="00C17992" w:rsidRDefault="00992D72" w:rsidP="00CE1F11">
            <w:pPr>
              <w:spacing w:before="80" w:after="40"/>
              <w:ind w:left="284" w:right="-1255"/>
              <w:rPr>
                <w:rFonts w:asciiTheme="majorBidi" w:hAnsiTheme="majorBidi" w:cstheme="majorBidi"/>
                <w:color w:val="000000" w:themeColor="text1"/>
                <w:sz w:val="24"/>
                <w:szCs w:val="24"/>
              </w:rPr>
            </w:pPr>
            <w:r w:rsidRPr="00C17992">
              <w:rPr>
                <w:rFonts w:asciiTheme="majorBidi" w:hAnsiTheme="majorBidi" w:cstheme="majorBidi"/>
                <w:color w:val="000000" w:themeColor="text1"/>
                <w:sz w:val="24"/>
                <w:szCs w:val="24"/>
              </w:rPr>
              <w:t>Normal</w:t>
            </w:r>
          </w:p>
        </w:tc>
        <w:tc>
          <w:tcPr>
            <w:tcW w:w="851" w:type="dxa"/>
            <w:tcBorders>
              <w:top w:val="nil"/>
              <w:left w:val="single" w:sz="4" w:space="0" w:color="auto"/>
              <w:bottom w:val="nil"/>
              <w:right w:val="single" w:sz="12" w:space="0" w:color="auto"/>
            </w:tcBorders>
            <w:vAlign w:val="center"/>
          </w:tcPr>
          <w:p w:rsidR="00992D72" w:rsidRPr="00C17992" w:rsidRDefault="00992D72" w:rsidP="00CE1F11">
            <w:pPr>
              <w:spacing w:before="80" w:after="40"/>
              <w:ind w:right="-1255"/>
              <w:jc w:val="center"/>
              <w:rPr>
                <w:rFonts w:asciiTheme="majorBidi" w:hAnsiTheme="majorBidi" w:cstheme="majorBidi"/>
                <w:b/>
                <w:bCs/>
                <w:color w:val="000000" w:themeColor="text1"/>
                <w:sz w:val="24"/>
                <w:szCs w:val="24"/>
              </w:rPr>
            </w:pPr>
            <w:r w:rsidRPr="00C17992">
              <w:rPr>
                <w:rFonts w:asciiTheme="majorBidi" w:hAnsiTheme="majorBidi" w:cstheme="majorBidi"/>
                <w:b/>
                <w:bCs/>
                <w:color w:val="000000" w:themeColor="text1"/>
                <w:sz w:val="24"/>
                <w:szCs w:val="24"/>
              </w:rPr>
              <w:t>45</w:t>
            </w:r>
          </w:p>
        </w:tc>
        <w:tc>
          <w:tcPr>
            <w:tcW w:w="2268" w:type="dxa"/>
            <w:tcBorders>
              <w:top w:val="nil"/>
              <w:left w:val="single" w:sz="12" w:space="0" w:color="auto"/>
              <w:bottom w:val="nil"/>
            </w:tcBorders>
          </w:tcPr>
          <w:p w:rsidR="00992D72" w:rsidRPr="00C17992" w:rsidRDefault="00992D72" w:rsidP="00CE1F11">
            <w:pPr>
              <w:spacing w:before="80" w:after="40"/>
              <w:ind w:right="-1255"/>
              <w:jc w:val="center"/>
              <w:rPr>
                <w:rFonts w:asciiTheme="majorBidi" w:hAnsiTheme="majorBidi" w:cstheme="majorBidi"/>
                <w:sz w:val="24"/>
                <w:szCs w:val="24"/>
              </w:rPr>
            </w:pPr>
            <w:r w:rsidRPr="00C17992">
              <w:rPr>
                <w:rFonts w:asciiTheme="majorBidi" w:hAnsiTheme="majorBidi" w:cstheme="majorBidi"/>
                <w:sz w:val="24"/>
                <w:szCs w:val="24"/>
              </w:rPr>
              <w:t>20 (44.4%)</w:t>
            </w:r>
          </w:p>
        </w:tc>
        <w:tc>
          <w:tcPr>
            <w:tcW w:w="1134" w:type="dxa"/>
            <w:vMerge w:val="restart"/>
            <w:tcBorders>
              <w:left w:val="single" w:sz="12" w:space="0" w:color="auto"/>
            </w:tcBorders>
            <w:vAlign w:val="center"/>
          </w:tcPr>
          <w:p w:rsidR="00992D72" w:rsidRPr="00C17992" w:rsidRDefault="00992D72" w:rsidP="00CE1F11">
            <w:pPr>
              <w:spacing w:before="80" w:after="40"/>
              <w:ind w:right="-1255"/>
              <w:jc w:val="center"/>
              <w:rPr>
                <w:rFonts w:asciiTheme="majorBidi" w:hAnsiTheme="majorBidi" w:cstheme="majorBidi"/>
                <w:sz w:val="24"/>
                <w:szCs w:val="24"/>
                <w:highlight w:val="yellow"/>
              </w:rPr>
            </w:pPr>
            <w:r w:rsidRPr="00C17992">
              <w:rPr>
                <w:rFonts w:asciiTheme="majorBidi" w:hAnsiTheme="majorBidi" w:cstheme="majorBidi"/>
                <w:sz w:val="24"/>
                <w:szCs w:val="24"/>
                <w:highlight w:val="yellow"/>
              </w:rPr>
              <w:t>10.005</w:t>
            </w:r>
            <w:r w:rsidRPr="00C17992">
              <w:rPr>
                <w:rFonts w:asciiTheme="majorBidi" w:hAnsiTheme="majorBidi" w:cstheme="majorBidi"/>
                <w:sz w:val="24"/>
                <w:szCs w:val="24"/>
                <w:highlight w:val="yellow"/>
                <w:vertAlign w:val="superscript"/>
              </w:rPr>
              <w:t>*</w:t>
            </w:r>
          </w:p>
        </w:tc>
        <w:tc>
          <w:tcPr>
            <w:tcW w:w="6061" w:type="dxa"/>
            <w:vMerge w:val="restart"/>
            <w:vAlign w:val="center"/>
          </w:tcPr>
          <w:p w:rsidR="00992D72" w:rsidRPr="00C17992" w:rsidRDefault="00992D72" w:rsidP="00CE1F11">
            <w:pPr>
              <w:spacing w:before="80" w:after="40"/>
              <w:ind w:right="-1255"/>
              <w:jc w:val="center"/>
              <w:rPr>
                <w:rFonts w:asciiTheme="majorBidi" w:hAnsiTheme="majorBidi" w:cstheme="majorBidi"/>
                <w:sz w:val="24"/>
                <w:szCs w:val="24"/>
              </w:rPr>
            </w:pPr>
            <w:r w:rsidRPr="00C17992">
              <w:rPr>
                <w:rFonts w:asciiTheme="majorBidi" w:hAnsiTheme="majorBidi" w:cstheme="majorBidi"/>
                <w:sz w:val="24"/>
                <w:szCs w:val="24"/>
              </w:rPr>
              <w:t>0.004</w:t>
            </w:r>
            <w:r w:rsidRPr="00C17992">
              <w:rPr>
                <w:rFonts w:asciiTheme="majorBidi" w:hAnsiTheme="majorBidi" w:cstheme="majorBidi"/>
                <w:sz w:val="24"/>
                <w:szCs w:val="24"/>
                <w:vertAlign w:val="superscript"/>
              </w:rPr>
              <w:t>*</w:t>
            </w:r>
          </w:p>
        </w:tc>
      </w:tr>
      <w:tr w:rsidR="00992D72" w:rsidRPr="00C17992" w:rsidTr="001855C8">
        <w:tc>
          <w:tcPr>
            <w:tcW w:w="2586" w:type="dxa"/>
            <w:tcBorders>
              <w:top w:val="nil"/>
              <w:bottom w:val="nil"/>
              <w:right w:val="single" w:sz="4" w:space="0" w:color="auto"/>
            </w:tcBorders>
            <w:vAlign w:val="center"/>
          </w:tcPr>
          <w:p w:rsidR="00992D72" w:rsidRPr="00C17992" w:rsidRDefault="00992D72" w:rsidP="00CE1F11">
            <w:pPr>
              <w:spacing w:before="80" w:after="40"/>
              <w:ind w:left="284" w:right="-1255"/>
              <w:rPr>
                <w:rFonts w:asciiTheme="majorBidi" w:hAnsiTheme="majorBidi" w:cstheme="majorBidi"/>
                <w:color w:val="000000" w:themeColor="text1"/>
                <w:sz w:val="24"/>
                <w:szCs w:val="24"/>
              </w:rPr>
            </w:pPr>
            <w:r w:rsidRPr="00C17992">
              <w:rPr>
                <w:rFonts w:asciiTheme="majorBidi" w:hAnsiTheme="majorBidi" w:cstheme="majorBidi"/>
                <w:color w:val="000000" w:themeColor="text1"/>
                <w:sz w:val="24"/>
                <w:szCs w:val="24"/>
              </w:rPr>
              <w:t>Suspicious</w:t>
            </w:r>
          </w:p>
        </w:tc>
        <w:tc>
          <w:tcPr>
            <w:tcW w:w="851" w:type="dxa"/>
            <w:tcBorders>
              <w:top w:val="nil"/>
              <w:left w:val="single" w:sz="4" w:space="0" w:color="auto"/>
              <w:bottom w:val="nil"/>
              <w:right w:val="single" w:sz="12" w:space="0" w:color="auto"/>
            </w:tcBorders>
            <w:vAlign w:val="center"/>
          </w:tcPr>
          <w:p w:rsidR="00992D72" w:rsidRPr="00C17992" w:rsidRDefault="00992D72" w:rsidP="00CE1F11">
            <w:pPr>
              <w:spacing w:before="80" w:after="40"/>
              <w:ind w:right="-1255"/>
              <w:jc w:val="center"/>
              <w:rPr>
                <w:rFonts w:asciiTheme="majorBidi" w:hAnsiTheme="majorBidi" w:cstheme="majorBidi"/>
                <w:b/>
                <w:bCs/>
                <w:color w:val="000000" w:themeColor="text1"/>
                <w:sz w:val="24"/>
                <w:szCs w:val="24"/>
              </w:rPr>
            </w:pPr>
            <w:r w:rsidRPr="00C17992">
              <w:rPr>
                <w:rFonts w:asciiTheme="majorBidi" w:hAnsiTheme="majorBidi" w:cstheme="majorBidi"/>
                <w:b/>
                <w:bCs/>
                <w:color w:val="000000" w:themeColor="text1"/>
                <w:sz w:val="24"/>
                <w:szCs w:val="24"/>
              </w:rPr>
              <w:t>8</w:t>
            </w:r>
          </w:p>
        </w:tc>
        <w:tc>
          <w:tcPr>
            <w:tcW w:w="2268" w:type="dxa"/>
            <w:tcBorders>
              <w:top w:val="nil"/>
              <w:left w:val="single" w:sz="12" w:space="0" w:color="auto"/>
              <w:bottom w:val="nil"/>
            </w:tcBorders>
          </w:tcPr>
          <w:p w:rsidR="00992D72" w:rsidRPr="00C17992" w:rsidRDefault="00992D72" w:rsidP="00CE1F11">
            <w:pPr>
              <w:spacing w:before="80" w:after="40"/>
              <w:ind w:right="-1255"/>
              <w:jc w:val="center"/>
              <w:rPr>
                <w:rFonts w:asciiTheme="majorBidi" w:hAnsiTheme="majorBidi" w:cstheme="majorBidi"/>
                <w:sz w:val="24"/>
                <w:szCs w:val="24"/>
              </w:rPr>
            </w:pPr>
            <w:r w:rsidRPr="00C17992">
              <w:rPr>
                <w:rFonts w:asciiTheme="majorBidi" w:hAnsiTheme="majorBidi" w:cstheme="majorBidi"/>
                <w:sz w:val="24"/>
                <w:szCs w:val="24"/>
              </w:rPr>
              <w:t>1 (12.5%)</w:t>
            </w:r>
          </w:p>
        </w:tc>
        <w:tc>
          <w:tcPr>
            <w:tcW w:w="1134" w:type="dxa"/>
            <w:vMerge/>
            <w:tcBorders>
              <w:left w:val="single" w:sz="12" w:space="0" w:color="auto"/>
            </w:tcBorders>
            <w:vAlign w:val="center"/>
          </w:tcPr>
          <w:p w:rsidR="00992D72" w:rsidRPr="00C17992" w:rsidRDefault="00992D72" w:rsidP="00CE1F11">
            <w:pPr>
              <w:spacing w:before="80" w:after="40"/>
              <w:ind w:right="-1255"/>
              <w:jc w:val="center"/>
              <w:rPr>
                <w:rFonts w:asciiTheme="majorBidi" w:hAnsiTheme="majorBidi" w:cstheme="majorBidi"/>
                <w:sz w:val="24"/>
                <w:szCs w:val="24"/>
                <w:highlight w:val="yellow"/>
              </w:rPr>
            </w:pPr>
          </w:p>
        </w:tc>
        <w:tc>
          <w:tcPr>
            <w:tcW w:w="6061" w:type="dxa"/>
            <w:vMerge/>
            <w:vAlign w:val="center"/>
          </w:tcPr>
          <w:p w:rsidR="00992D72" w:rsidRPr="00C17992" w:rsidRDefault="00992D72" w:rsidP="00CE1F11">
            <w:pPr>
              <w:spacing w:before="80" w:after="40"/>
              <w:ind w:right="-1255"/>
              <w:jc w:val="center"/>
              <w:rPr>
                <w:rFonts w:asciiTheme="majorBidi" w:hAnsiTheme="majorBidi" w:cstheme="majorBidi"/>
                <w:sz w:val="24"/>
                <w:szCs w:val="24"/>
              </w:rPr>
            </w:pPr>
          </w:p>
        </w:tc>
      </w:tr>
      <w:tr w:rsidR="00992D72" w:rsidRPr="00C17992" w:rsidTr="001855C8">
        <w:tc>
          <w:tcPr>
            <w:tcW w:w="2586" w:type="dxa"/>
            <w:tcBorders>
              <w:top w:val="nil"/>
              <w:bottom w:val="thickThinSmallGap" w:sz="18" w:space="0" w:color="auto"/>
              <w:right w:val="single" w:sz="4" w:space="0" w:color="auto"/>
            </w:tcBorders>
            <w:vAlign w:val="center"/>
          </w:tcPr>
          <w:p w:rsidR="00992D72" w:rsidRPr="00C17992" w:rsidRDefault="00992D72" w:rsidP="00CE1F11">
            <w:pPr>
              <w:spacing w:before="80" w:after="40"/>
              <w:ind w:left="284" w:right="-1255"/>
              <w:rPr>
                <w:rFonts w:asciiTheme="majorBidi" w:hAnsiTheme="majorBidi" w:cstheme="majorBidi"/>
                <w:color w:val="000000" w:themeColor="text1"/>
                <w:sz w:val="24"/>
                <w:szCs w:val="24"/>
              </w:rPr>
            </w:pPr>
            <w:r w:rsidRPr="00C17992">
              <w:rPr>
                <w:rFonts w:asciiTheme="majorBidi" w:hAnsiTheme="majorBidi" w:cstheme="majorBidi"/>
                <w:color w:val="000000" w:themeColor="text1"/>
                <w:sz w:val="24"/>
                <w:szCs w:val="24"/>
              </w:rPr>
              <w:t>Malignant</w:t>
            </w:r>
          </w:p>
        </w:tc>
        <w:tc>
          <w:tcPr>
            <w:tcW w:w="851" w:type="dxa"/>
            <w:tcBorders>
              <w:top w:val="nil"/>
              <w:left w:val="single" w:sz="4" w:space="0" w:color="auto"/>
              <w:bottom w:val="thickThinSmallGap" w:sz="18" w:space="0" w:color="auto"/>
              <w:right w:val="single" w:sz="12" w:space="0" w:color="auto"/>
            </w:tcBorders>
            <w:vAlign w:val="center"/>
          </w:tcPr>
          <w:p w:rsidR="00992D72" w:rsidRPr="00C17992" w:rsidRDefault="00992D72" w:rsidP="00CE1F11">
            <w:pPr>
              <w:spacing w:before="80" w:after="40"/>
              <w:ind w:right="-1255"/>
              <w:jc w:val="center"/>
              <w:rPr>
                <w:rFonts w:asciiTheme="majorBidi" w:hAnsiTheme="majorBidi" w:cstheme="majorBidi"/>
                <w:b/>
                <w:bCs/>
                <w:color w:val="000000" w:themeColor="text1"/>
                <w:sz w:val="24"/>
                <w:szCs w:val="24"/>
              </w:rPr>
            </w:pPr>
            <w:r w:rsidRPr="00C17992">
              <w:rPr>
                <w:rFonts w:asciiTheme="majorBidi" w:hAnsiTheme="majorBidi" w:cstheme="majorBidi"/>
                <w:b/>
                <w:bCs/>
                <w:color w:val="000000" w:themeColor="text1"/>
                <w:sz w:val="24"/>
                <w:szCs w:val="24"/>
              </w:rPr>
              <w:t>11</w:t>
            </w:r>
          </w:p>
        </w:tc>
        <w:tc>
          <w:tcPr>
            <w:tcW w:w="2268" w:type="dxa"/>
            <w:tcBorders>
              <w:top w:val="nil"/>
              <w:left w:val="single" w:sz="12" w:space="0" w:color="auto"/>
              <w:bottom w:val="thickThinSmallGap" w:sz="18" w:space="0" w:color="auto"/>
            </w:tcBorders>
          </w:tcPr>
          <w:p w:rsidR="00992D72" w:rsidRPr="00C17992" w:rsidRDefault="00992D72" w:rsidP="00CE1F11">
            <w:pPr>
              <w:spacing w:before="80" w:after="40"/>
              <w:ind w:right="-1255"/>
              <w:jc w:val="center"/>
              <w:rPr>
                <w:rFonts w:asciiTheme="majorBidi" w:hAnsiTheme="majorBidi" w:cstheme="majorBidi"/>
                <w:sz w:val="24"/>
                <w:szCs w:val="24"/>
              </w:rPr>
            </w:pPr>
            <w:r w:rsidRPr="00C17992">
              <w:rPr>
                <w:rFonts w:asciiTheme="majorBidi" w:hAnsiTheme="majorBidi" w:cstheme="majorBidi"/>
                <w:sz w:val="24"/>
                <w:szCs w:val="24"/>
              </w:rPr>
              <w:t>0 (0.0%)</w:t>
            </w:r>
          </w:p>
        </w:tc>
        <w:tc>
          <w:tcPr>
            <w:tcW w:w="1134" w:type="dxa"/>
            <w:vMerge/>
            <w:tcBorders>
              <w:left w:val="single" w:sz="12" w:space="0" w:color="auto"/>
              <w:bottom w:val="thickThinSmallGap" w:sz="18" w:space="0" w:color="auto"/>
            </w:tcBorders>
            <w:vAlign w:val="center"/>
          </w:tcPr>
          <w:p w:rsidR="00992D72" w:rsidRPr="00C17992" w:rsidRDefault="00992D72" w:rsidP="00CE1F11">
            <w:pPr>
              <w:spacing w:before="80" w:after="40"/>
              <w:ind w:right="-1255"/>
              <w:jc w:val="center"/>
              <w:rPr>
                <w:rFonts w:asciiTheme="majorBidi" w:hAnsiTheme="majorBidi" w:cstheme="majorBidi"/>
                <w:sz w:val="24"/>
                <w:szCs w:val="24"/>
                <w:highlight w:val="yellow"/>
              </w:rPr>
            </w:pPr>
          </w:p>
        </w:tc>
        <w:tc>
          <w:tcPr>
            <w:tcW w:w="6061" w:type="dxa"/>
            <w:vMerge/>
            <w:tcBorders>
              <w:bottom w:val="thickThinSmallGap" w:sz="18" w:space="0" w:color="auto"/>
            </w:tcBorders>
            <w:vAlign w:val="center"/>
          </w:tcPr>
          <w:p w:rsidR="00992D72" w:rsidRPr="00C17992" w:rsidRDefault="00992D72" w:rsidP="00CE1F11">
            <w:pPr>
              <w:spacing w:before="80" w:after="40"/>
              <w:ind w:right="-1255"/>
              <w:jc w:val="center"/>
              <w:rPr>
                <w:rFonts w:asciiTheme="majorBidi" w:hAnsiTheme="majorBidi" w:cstheme="majorBidi"/>
                <w:sz w:val="24"/>
                <w:szCs w:val="24"/>
              </w:rPr>
            </w:pPr>
          </w:p>
        </w:tc>
      </w:tr>
    </w:tbl>
    <w:p w:rsidR="00992D72" w:rsidRPr="00C17992" w:rsidRDefault="00992D72" w:rsidP="00CE1F11">
      <w:pPr>
        <w:spacing w:after="0" w:line="240" w:lineRule="auto"/>
        <w:ind w:right="-1255"/>
        <w:rPr>
          <w:rFonts w:asciiTheme="majorBidi" w:hAnsiTheme="majorBidi" w:cstheme="majorBidi"/>
          <w:sz w:val="24"/>
          <w:szCs w:val="24"/>
        </w:rPr>
      </w:pPr>
    </w:p>
    <w:p w:rsidR="00992D72" w:rsidRPr="00C17992" w:rsidRDefault="00992D72" w:rsidP="00CE1F11">
      <w:pPr>
        <w:spacing w:after="0" w:line="240" w:lineRule="auto"/>
        <w:ind w:right="-1255"/>
        <w:rPr>
          <w:rFonts w:asciiTheme="majorBidi" w:hAnsiTheme="majorBidi" w:cstheme="majorBidi"/>
          <w:sz w:val="24"/>
          <w:szCs w:val="24"/>
        </w:rPr>
      </w:pPr>
    </w:p>
    <w:p w:rsidR="00992D72" w:rsidRPr="00C17992" w:rsidRDefault="00992D72" w:rsidP="00CE1F11">
      <w:pPr>
        <w:spacing w:after="0" w:line="240" w:lineRule="auto"/>
        <w:ind w:right="-1255"/>
        <w:rPr>
          <w:rFonts w:asciiTheme="majorBidi" w:hAnsiTheme="majorBidi" w:cstheme="majorBidi"/>
          <w:sz w:val="24"/>
          <w:szCs w:val="24"/>
          <w:lang w:bidi="ar-EG"/>
        </w:rPr>
      </w:pPr>
      <w:r w:rsidRPr="00C17992">
        <w:rPr>
          <w:rFonts w:asciiTheme="majorBidi" w:hAnsiTheme="majorBidi" w:cstheme="majorBidi"/>
          <w:sz w:val="24"/>
          <w:szCs w:val="24"/>
        </w:rPr>
        <w:sym w:font="Symbol" w:char="F063"/>
      </w:r>
      <w:r w:rsidRPr="00C17992">
        <w:rPr>
          <w:rFonts w:asciiTheme="majorBidi" w:hAnsiTheme="majorBidi" w:cstheme="majorBidi"/>
          <w:sz w:val="24"/>
          <w:szCs w:val="24"/>
          <w:vertAlign w:val="superscript"/>
        </w:rPr>
        <w:t>2</w:t>
      </w:r>
      <w:r w:rsidRPr="00C17992">
        <w:rPr>
          <w:rFonts w:asciiTheme="majorBidi" w:hAnsiTheme="majorBidi" w:cstheme="majorBidi"/>
          <w:sz w:val="24"/>
          <w:szCs w:val="24"/>
        </w:rPr>
        <w:t xml:space="preserve">:  </w:t>
      </w:r>
      <w:r w:rsidRPr="00C17992">
        <w:rPr>
          <w:rFonts w:asciiTheme="majorBidi" w:hAnsiTheme="majorBidi" w:cstheme="majorBidi"/>
          <w:b/>
          <w:bCs/>
          <w:sz w:val="24"/>
          <w:szCs w:val="24"/>
        </w:rPr>
        <w:t>Chi square test</w:t>
      </w:r>
      <w:r w:rsidRPr="00C17992">
        <w:rPr>
          <w:rFonts w:asciiTheme="majorBidi" w:eastAsia="SimSun" w:hAnsiTheme="majorBidi" w:cstheme="majorBidi"/>
          <w:sz w:val="24"/>
          <w:szCs w:val="24"/>
          <w:lang w:eastAsia="zh-CN"/>
        </w:rPr>
        <w:t xml:space="preserve">, MC: </w:t>
      </w:r>
      <w:r w:rsidRPr="00C17992">
        <w:rPr>
          <w:rFonts w:asciiTheme="majorBidi" w:eastAsia="SimSun" w:hAnsiTheme="majorBidi" w:cstheme="majorBidi"/>
          <w:b/>
          <w:bCs/>
          <w:sz w:val="24"/>
          <w:szCs w:val="24"/>
          <w:lang w:eastAsia="zh-CN"/>
        </w:rPr>
        <w:t>Monte Carlo</w:t>
      </w:r>
    </w:p>
    <w:p w:rsidR="00992D72" w:rsidRPr="00C17992" w:rsidRDefault="00992D72" w:rsidP="00CE1F11">
      <w:pPr>
        <w:spacing w:after="0" w:line="240" w:lineRule="auto"/>
        <w:ind w:right="-1255"/>
        <w:rPr>
          <w:rFonts w:asciiTheme="majorBidi" w:hAnsiTheme="majorBidi" w:cstheme="majorBidi"/>
          <w:sz w:val="24"/>
          <w:szCs w:val="24"/>
          <w:lang w:bidi="ar-EG"/>
        </w:rPr>
      </w:pPr>
      <w:r w:rsidRPr="00C17992">
        <w:rPr>
          <w:rFonts w:asciiTheme="majorBidi" w:eastAsia="SimSun" w:hAnsiTheme="majorBidi" w:cstheme="majorBidi"/>
          <w:sz w:val="24"/>
          <w:szCs w:val="24"/>
          <w:lang w:eastAsia="zh-CN"/>
        </w:rPr>
        <w:t>p: p value for comparing between the studied categories</w:t>
      </w:r>
    </w:p>
    <w:p w:rsidR="00992D72" w:rsidRPr="00C17992" w:rsidRDefault="00992D72" w:rsidP="00CE1F11">
      <w:pPr>
        <w:spacing w:after="0" w:line="240" w:lineRule="auto"/>
        <w:ind w:left="284" w:right="-1255" w:hanging="284"/>
        <w:jc w:val="both"/>
        <w:rPr>
          <w:rFonts w:asciiTheme="majorBidi" w:eastAsia="SimSun" w:hAnsiTheme="majorBidi" w:cstheme="majorBidi"/>
          <w:sz w:val="24"/>
          <w:szCs w:val="24"/>
          <w:lang w:eastAsia="zh-CN"/>
        </w:rPr>
      </w:pPr>
      <w:r w:rsidRPr="00C17992">
        <w:rPr>
          <w:rFonts w:asciiTheme="majorBidi" w:eastAsia="SimSun" w:hAnsiTheme="majorBidi" w:cstheme="majorBidi"/>
          <w:sz w:val="24"/>
          <w:szCs w:val="24"/>
          <w:lang w:eastAsia="zh-CN"/>
        </w:rPr>
        <w:t xml:space="preserve">*: Statistically significant at p ≤ 0.05  </w:t>
      </w:r>
    </w:p>
    <w:p w:rsidR="00992D72" w:rsidRPr="00C17992" w:rsidRDefault="00992D72" w:rsidP="00CE1F11">
      <w:pPr>
        <w:spacing w:after="0" w:line="240" w:lineRule="auto"/>
        <w:ind w:left="284" w:right="-1255" w:hanging="284"/>
        <w:jc w:val="both"/>
        <w:rPr>
          <w:rFonts w:asciiTheme="majorBidi" w:eastAsia="SimSun" w:hAnsiTheme="majorBidi" w:cstheme="majorBidi"/>
          <w:sz w:val="24"/>
          <w:szCs w:val="24"/>
          <w:lang w:eastAsia="zh-CN"/>
        </w:rPr>
      </w:pPr>
    </w:p>
    <w:p w:rsidR="00992D72" w:rsidRPr="00C17992" w:rsidRDefault="00992D72" w:rsidP="00CE1F11">
      <w:pPr>
        <w:ind w:right="-1255"/>
        <w:rPr>
          <w:rFonts w:asciiTheme="majorBidi" w:eastAsia="TimesNewRomanPSMT" w:hAnsiTheme="majorBidi" w:cstheme="majorBidi"/>
          <w:sz w:val="24"/>
          <w:szCs w:val="24"/>
          <w:lang w:bidi="ar-EG"/>
        </w:rPr>
      </w:pPr>
      <w:r w:rsidRPr="00C17992">
        <w:rPr>
          <w:rFonts w:asciiTheme="majorBidi" w:hAnsiTheme="majorBidi" w:cstheme="majorBidi"/>
          <w:b/>
          <w:bCs/>
          <w:sz w:val="24"/>
          <w:szCs w:val="24"/>
        </w:rPr>
        <w:t xml:space="preserve">Conclusion </w:t>
      </w:r>
      <w:r w:rsidRPr="00C17992">
        <w:rPr>
          <w:rFonts w:asciiTheme="majorBidi" w:eastAsia="TimesNewRomanPSMT" w:hAnsiTheme="majorBidi" w:cstheme="majorBidi"/>
          <w:sz w:val="24"/>
          <w:szCs w:val="24"/>
          <w:lang w:bidi="ar-EG"/>
        </w:rPr>
        <w:t xml:space="preserve">According to our study we concluded that </w:t>
      </w:r>
    </w:p>
    <w:p w:rsidR="00992D72" w:rsidRPr="00C17992" w:rsidRDefault="00992D72" w:rsidP="00CE1F11">
      <w:pPr>
        <w:pStyle w:val="ListParagraph"/>
        <w:numPr>
          <w:ilvl w:val="0"/>
          <w:numId w:val="3"/>
        </w:numPr>
        <w:ind w:right="-1255"/>
        <w:rPr>
          <w:rFonts w:asciiTheme="majorBidi" w:eastAsia="TimesNewRomanPSMT" w:hAnsiTheme="majorBidi" w:cstheme="majorBidi"/>
          <w:sz w:val="24"/>
          <w:szCs w:val="24"/>
          <w:lang w:bidi="ar-EG"/>
        </w:rPr>
      </w:pPr>
      <w:r w:rsidRPr="00C17992">
        <w:rPr>
          <w:rFonts w:asciiTheme="majorBidi" w:eastAsia="TimesNewRomanPSMT" w:hAnsiTheme="majorBidi" w:cstheme="majorBidi"/>
          <w:sz w:val="24"/>
          <w:szCs w:val="24"/>
          <w:lang w:bidi="ar-EG"/>
        </w:rPr>
        <w:t>Post neoadjuvant ultrasound is essential for assessment of axillary response.</w:t>
      </w:r>
    </w:p>
    <w:p w:rsidR="00992D72" w:rsidRPr="00C17992" w:rsidRDefault="00992D72" w:rsidP="00CE1F11">
      <w:pPr>
        <w:pStyle w:val="ListParagraph"/>
        <w:numPr>
          <w:ilvl w:val="0"/>
          <w:numId w:val="3"/>
        </w:numPr>
        <w:ind w:right="-1255"/>
        <w:rPr>
          <w:rFonts w:asciiTheme="majorBidi" w:eastAsia="TimesNewRomanPSMT" w:hAnsiTheme="majorBidi" w:cstheme="majorBidi"/>
          <w:sz w:val="24"/>
          <w:szCs w:val="24"/>
          <w:lang w:bidi="ar-EG"/>
        </w:rPr>
      </w:pPr>
      <w:r w:rsidRPr="00C17992">
        <w:rPr>
          <w:rFonts w:asciiTheme="majorBidi" w:eastAsia="TimesNewRomanPSMT" w:hAnsiTheme="majorBidi" w:cstheme="majorBidi"/>
          <w:sz w:val="24"/>
          <w:szCs w:val="24"/>
          <w:lang w:bidi="ar-EG"/>
        </w:rPr>
        <w:t>Around 44.4 % of patients with negative post neoadjuvant axillary ultrasound can avoid unnecessary axillary LN clearance .</w:t>
      </w:r>
    </w:p>
    <w:p w:rsidR="00992D72" w:rsidRPr="00C17992" w:rsidRDefault="00992D72" w:rsidP="00CE1F11">
      <w:pPr>
        <w:pStyle w:val="ListParagraph"/>
        <w:numPr>
          <w:ilvl w:val="0"/>
          <w:numId w:val="3"/>
        </w:numPr>
        <w:ind w:right="-1255"/>
        <w:rPr>
          <w:rFonts w:asciiTheme="majorBidi" w:eastAsia="TimesNewRomanPSMT" w:hAnsiTheme="majorBidi" w:cstheme="majorBidi"/>
          <w:sz w:val="24"/>
          <w:szCs w:val="24"/>
          <w:lang w:bidi="ar-EG"/>
        </w:rPr>
      </w:pPr>
      <w:r w:rsidRPr="00C17992">
        <w:rPr>
          <w:rFonts w:asciiTheme="majorBidi" w:eastAsia="TimesNewRomanPSMT" w:hAnsiTheme="majorBidi" w:cstheme="majorBidi"/>
          <w:sz w:val="24"/>
          <w:szCs w:val="24"/>
          <w:lang w:bidi="ar-EG"/>
        </w:rPr>
        <w:t>Accurate axillary staging is the corner stone for omission of axillary clearance for post neoadjuvant patients.</w:t>
      </w:r>
    </w:p>
    <w:p w:rsidR="00992D72" w:rsidRPr="00C17992" w:rsidRDefault="00992D72" w:rsidP="00CE1F11">
      <w:pPr>
        <w:ind w:right="-1255"/>
        <w:rPr>
          <w:rFonts w:asciiTheme="majorBidi" w:eastAsia="TimesNewRomanPSMT" w:hAnsiTheme="majorBidi" w:cstheme="majorBidi"/>
          <w:sz w:val="24"/>
          <w:szCs w:val="24"/>
          <w:lang w:bidi="ar-EG"/>
        </w:rPr>
      </w:pPr>
      <w:r w:rsidRPr="00C17992">
        <w:rPr>
          <w:rFonts w:asciiTheme="majorBidi" w:eastAsia="TimesNewRomanPSMT" w:hAnsiTheme="majorBidi" w:cstheme="majorBidi"/>
          <w:sz w:val="24"/>
          <w:szCs w:val="24"/>
          <w:lang w:bidi="ar-EG"/>
        </w:rPr>
        <w:t xml:space="preserve">Our Recommendations : </w:t>
      </w:r>
    </w:p>
    <w:p w:rsidR="00992D72" w:rsidRPr="00C17992" w:rsidRDefault="00992D72" w:rsidP="00FA24CD">
      <w:pPr>
        <w:pStyle w:val="ListParagraph"/>
        <w:numPr>
          <w:ilvl w:val="0"/>
          <w:numId w:val="2"/>
        </w:numPr>
        <w:ind w:right="-303"/>
        <w:rPr>
          <w:rFonts w:asciiTheme="majorBidi" w:hAnsiTheme="majorBidi" w:cstheme="majorBidi"/>
          <w:sz w:val="24"/>
          <w:szCs w:val="24"/>
        </w:rPr>
      </w:pPr>
      <w:r w:rsidRPr="00C17992">
        <w:rPr>
          <w:rFonts w:asciiTheme="majorBidi" w:eastAsia="TimesNewRomanPSMT" w:hAnsiTheme="majorBidi" w:cstheme="majorBidi"/>
          <w:sz w:val="24"/>
          <w:szCs w:val="24"/>
          <w:lang w:bidi="ar-EG"/>
        </w:rPr>
        <w:lastRenderedPageBreak/>
        <w:t>Further prospective studies with large sample sizes to assess the false negative rate and feasibility of sentinel LN biopsy post neoadjuvant chemotherapy.</w:t>
      </w:r>
    </w:p>
    <w:p w:rsidR="00992D72" w:rsidRPr="00C17992" w:rsidRDefault="00992D72" w:rsidP="00FA24CD">
      <w:pPr>
        <w:pStyle w:val="ListParagraph"/>
        <w:numPr>
          <w:ilvl w:val="0"/>
          <w:numId w:val="2"/>
        </w:numPr>
        <w:ind w:right="-303"/>
        <w:rPr>
          <w:rFonts w:asciiTheme="majorBidi" w:hAnsiTheme="majorBidi" w:cstheme="majorBidi"/>
          <w:sz w:val="24"/>
          <w:szCs w:val="24"/>
        </w:rPr>
      </w:pPr>
      <w:r w:rsidRPr="00C17992">
        <w:rPr>
          <w:rFonts w:asciiTheme="majorBidi" w:eastAsia="TimesNewRomanPSMT" w:hAnsiTheme="majorBidi" w:cstheme="majorBidi"/>
          <w:sz w:val="24"/>
          <w:szCs w:val="24"/>
          <w:lang w:bidi="ar-EG"/>
        </w:rPr>
        <w:t>Application of sentinel LN biopsy for patients showing post neoadjuvant clinical and radiological axillary response if we can reach a technique with an accepted false negative rate for SLNB in post neoadjuvant patients.</w:t>
      </w:r>
    </w:p>
    <w:p w:rsidR="00992D72" w:rsidRPr="00C17992" w:rsidRDefault="00992D72" w:rsidP="00FA24CD">
      <w:pPr>
        <w:autoSpaceDE w:val="0"/>
        <w:autoSpaceDN w:val="0"/>
        <w:adjustRightInd w:val="0"/>
        <w:spacing w:after="0"/>
        <w:ind w:right="-445"/>
        <w:rPr>
          <w:rFonts w:asciiTheme="majorBidi" w:eastAsia="TimesNewRomanPSMT" w:hAnsiTheme="majorBidi" w:cstheme="majorBidi"/>
          <w:sz w:val="24"/>
          <w:szCs w:val="24"/>
        </w:rPr>
      </w:pPr>
      <w:r w:rsidRPr="00C17992">
        <w:rPr>
          <w:rFonts w:asciiTheme="majorBidi" w:eastAsia="TimesNewRomanPSMT" w:hAnsiTheme="majorBidi" w:cstheme="majorBidi"/>
          <w:sz w:val="24"/>
          <w:szCs w:val="24"/>
        </w:rPr>
        <w:t>To assure the success of the procedure and increase the sensitivity of the SLNB :</w:t>
      </w:r>
    </w:p>
    <w:p w:rsidR="00992D72" w:rsidRPr="00C17992" w:rsidRDefault="00992D72" w:rsidP="00FA24CD">
      <w:pPr>
        <w:pStyle w:val="ListParagraph"/>
        <w:numPr>
          <w:ilvl w:val="0"/>
          <w:numId w:val="2"/>
        </w:numPr>
        <w:ind w:right="-445"/>
        <w:rPr>
          <w:rFonts w:asciiTheme="majorBidi" w:hAnsiTheme="majorBidi" w:cstheme="majorBidi"/>
          <w:sz w:val="24"/>
          <w:szCs w:val="24"/>
        </w:rPr>
      </w:pPr>
      <w:r w:rsidRPr="00C17992">
        <w:rPr>
          <w:rFonts w:asciiTheme="majorBidi" w:hAnsiTheme="majorBidi" w:cstheme="majorBidi"/>
          <w:sz w:val="24"/>
          <w:szCs w:val="24"/>
        </w:rPr>
        <w:t xml:space="preserve">Dual technique </w:t>
      </w:r>
    </w:p>
    <w:p w:rsidR="00992D72" w:rsidRPr="00C17992" w:rsidRDefault="00992D72" w:rsidP="00FA24CD">
      <w:pPr>
        <w:pStyle w:val="ListParagraph"/>
        <w:numPr>
          <w:ilvl w:val="0"/>
          <w:numId w:val="2"/>
        </w:numPr>
        <w:ind w:right="-445"/>
        <w:rPr>
          <w:rFonts w:asciiTheme="majorBidi" w:hAnsiTheme="majorBidi" w:cstheme="majorBidi"/>
          <w:sz w:val="24"/>
          <w:szCs w:val="24"/>
        </w:rPr>
      </w:pPr>
      <w:r w:rsidRPr="00C17992">
        <w:rPr>
          <w:rFonts w:asciiTheme="majorBidi" w:hAnsiTheme="majorBidi" w:cstheme="majorBidi"/>
          <w:sz w:val="24"/>
          <w:szCs w:val="24"/>
        </w:rPr>
        <w:t xml:space="preserve">Removal of three or more  lymph nodes </w:t>
      </w:r>
    </w:p>
    <w:p w:rsidR="00041123" w:rsidRPr="00992D72" w:rsidRDefault="00992D72" w:rsidP="00FA24CD">
      <w:pPr>
        <w:ind w:right="-445"/>
        <w:rPr>
          <w:rFonts w:asciiTheme="majorBidi" w:hAnsiTheme="majorBidi" w:cstheme="majorBidi"/>
          <w:sz w:val="24"/>
          <w:szCs w:val="24"/>
        </w:rPr>
      </w:pPr>
      <w:r w:rsidRPr="00C17992">
        <w:rPr>
          <w:rFonts w:asciiTheme="majorBidi" w:hAnsiTheme="majorBidi" w:cstheme="majorBidi"/>
          <w:sz w:val="24"/>
          <w:szCs w:val="24"/>
        </w:rPr>
        <w:t xml:space="preserve">Clipping of the pathological LN before starting neoadjuvant and </w:t>
      </w:r>
      <w:r w:rsidRPr="00C17992">
        <w:rPr>
          <w:rFonts w:asciiTheme="majorBidi" w:hAnsiTheme="majorBidi" w:cstheme="majorBidi"/>
          <w:color w:val="000000"/>
          <w:sz w:val="24"/>
          <w:szCs w:val="24"/>
        </w:rPr>
        <w:t>this clipped node is confirmed to be removed at the time of SLN biopsy.</w:t>
      </w:r>
    </w:p>
    <w:sectPr w:rsidR="00041123" w:rsidRPr="00992D72" w:rsidSect="001855C8">
      <w:pgSz w:w="15840" w:h="12240" w:orient="landscape"/>
      <w:pgMar w:top="1560" w:right="1440" w:bottom="1800" w:left="28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217B" w:rsidRDefault="00CB217B" w:rsidP="00992D72">
      <w:pPr>
        <w:spacing w:after="0" w:line="240" w:lineRule="auto"/>
      </w:pPr>
      <w:r>
        <w:separator/>
      </w:r>
    </w:p>
  </w:endnote>
  <w:endnote w:type="continuationSeparator" w:id="1">
    <w:p w:rsidR="00CB217B" w:rsidRDefault="00CB217B" w:rsidP="00992D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217B" w:rsidRDefault="00CB217B" w:rsidP="00992D72">
      <w:pPr>
        <w:spacing w:after="0" w:line="240" w:lineRule="auto"/>
      </w:pPr>
      <w:r>
        <w:separator/>
      </w:r>
    </w:p>
  </w:footnote>
  <w:footnote w:type="continuationSeparator" w:id="1">
    <w:p w:rsidR="00CB217B" w:rsidRDefault="00CB217B" w:rsidP="00992D7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90442"/>
    <w:multiLevelType w:val="hybridMultilevel"/>
    <w:tmpl w:val="D55A5D08"/>
    <w:lvl w:ilvl="0" w:tplc="8A764B36">
      <w:numFmt w:val="bullet"/>
      <w:lvlText w:val="-"/>
      <w:lvlJc w:val="left"/>
      <w:pPr>
        <w:ind w:left="720" w:hanging="360"/>
      </w:pPr>
      <w:rPr>
        <w:rFonts w:ascii="Times New Roman" w:eastAsia="TimesNewRomanPS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0A1514"/>
    <w:multiLevelType w:val="hybridMultilevel"/>
    <w:tmpl w:val="C0A88DC2"/>
    <w:lvl w:ilvl="0" w:tplc="5B289084">
      <w:numFmt w:val="bullet"/>
      <w:lvlText w:val="-"/>
      <w:lvlJc w:val="left"/>
      <w:pPr>
        <w:ind w:left="720" w:hanging="360"/>
      </w:pPr>
      <w:rPr>
        <w:rFonts w:ascii="Times New Roman" w:eastAsia="TimesNewRomanPS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FD585D"/>
    <w:multiLevelType w:val="hybridMultilevel"/>
    <w:tmpl w:val="3502F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6146"/>
  </w:hdrShapeDefaults>
  <w:footnotePr>
    <w:footnote w:id="0"/>
    <w:footnote w:id="1"/>
  </w:footnotePr>
  <w:endnotePr>
    <w:endnote w:id="0"/>
    <w:endnote w:id="1"/>
  </w:endnotePr>
  <w:compat>
    <w:useFELayout/>
  </w:compat>
  <w:rsids>
    <w:rsidRoot w:val="00992D72"/>
    <w:rsid w:val="00041123"/>
    <w:rsid w:val="001855C8"/>
    <w:rsid w:val="00456C55"/>
    <w:rsid w:val="00726E30"/>
    <w:rsid w:val="00992D72"/>
    <w:rsid w:val="00CB217B"/>
    <w:rsid w:val="00CE1F11"/>
    <w:rsid w:val="00FA24C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E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2D72"/>
    <w:pPr>
      <w:ind w:left="720"/>
      <w:contextualSpacing/>
    </w:pPr>
  </w:style>
  <w:style w:type="paragraph" w:styleId="Header">
    <w:name w:val="header"/>
    <w:basedOn w:val="Normal"/>
    <w:link w:val="HeaderChar"/>
    <w:uiPriority w:val="99"/>
    <w:unhideWhenUsed/>
    <w:rsid w:val="00992D72"/>
    <w:pPr>
      <w:tabs>
        <w:tab w:val="center" w:pos="4320"/>
        <w:tab w:val="right" w:pos="8640"/>
      </w:tabs>
      <w:spacing w:after="0" w:line="240" w:lineRule="auto"/>
    </w:pPr>
  </w:style>
  <w:style w:type="character" w:customStyle="1" w:styleId="HeaderChar">
    <w:name w:val="Header Char"/>
    <w:basedOn w:val="DefaultParagraphFont"/>
    <w:link w:val="Header"/>
    <w:uiPriority w:val="99"/>
    <w:rsid w:val="00992D72"/>
  </w:style>
  <w:style w:type="paragraph" w:styleId="Footer">
    <w:name w:val="footer"/>
    <w:basedOn w:val="Normal"/>
    <w:link w:val="FooterChar"/>
    <w:uiPriority w:val="99"/>
    <w:semiHidden/>
    <w:unhideWhenUsed/>
    <w:rsid w:val="00992D72"/>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992D72"/>
  </w:style>
  <w:style w:type="paragraph" w:styleId="BalloonText">
    <w:name w:val="Balloon Text"/>
    <w:basedOn w:val="Normal"/>
    <w:link w:val="BalloonTextChar"/>
    <w:uiPriority w:val="99"/>
    <w:semiHidden/>
    <w:unhideWhenUsed/>
    <w:rsid w:val="00992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2D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2021-12-07T12:09:00Z</dcterms:created>
  <dcterms:modified xsi:type="dcterms:W3CDTF">2021-12-07T12:28:00Z</dcterms:modified>
</cp:coreProperties>
</file>