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107C98" w14:textId="77777777" w:rsidR="00AE3E37" w:rsidRDefault="000B1A64" w:rsidP="00494130">
      <w:pPr>
        <w:pStyle w:val="Heading1"/>
        <w:spacing w:before="170"/>
        <w:ind w:left="0"/>
      </w:pPr>
      <w:r>
        <w:rPr>
          <w:color w:val="337AB7"/>
        </w:rPr>
        <w:t xml:space="preserve">Mechanical Thrombectomy in Stroke: Are There New Lessons </w:t>
      </w:r>
      <w:r w:rsidR="000B32BD">
        <w:rPr>
          <w:color w:val="337AB7"/>
        </w:rPr>
        <w:t>to Learn</w:t>
      </w:r>
      <w:r>
        <w:rPr>
          <w:color w:val="337AB7"/>
        </w:rPr>
        <w:t>?</w:t>
      </w:r>
    </w:p>
    <w:p w14:paraId="1088A02C" w14:textId="77777777" w:rsidR="000B1A64" w:rsidRDefault="000B1A64" w:rsidP="000B1A64">
      <w:pPr>
        <w:pStyle w:val="BodyText"/>
        <w:spacing w:before="73" w:line="198" w:lineRule="exact"/>
        <w:ind w:left="100" w:right="2770"/>
        <w:rPr>
          <w:rFonts w:ascii="Arial"/>
        </w:rPr>
      </w:pPr>
      <w:r w:rsidRPr="00CB44F9">
        <w:rPr>
          <w:rFonts w:ascii="Arial"/>
          <w:i/>
          <w:iCs/>
        </w:rPr>
        <w:t xml:space="preserve">Amie L Hoefnagel MD, </w:t>
      </w:r>
      <w:r>
        <w:rPr>
          <w:rFonts w:ascii="Arial"/>
        </w:rPr>
        <w:t>University of Florida College of Medicine, Jacksonville, Florida, USA</w:t>
      </w:r>
    </w:p>
    <w:p w14:paraId="6475805D" w14:textId="77777777" w:rsidR="000B1A64" w:rsidRDefault="000B1A64" w:rsidP="000B1A64">
      <w:pPr>
        <w:pStyle w:val="BodyText"/>
        <w:spacing w:before="73" w:line="198" w:lineRule="exact"/>
        <w:ind w:left="100" w:right="2770"/>
        <w:rPr>
          <w:rFonts w:ascii="Arial"/>
        </w:rPr>
      </w:pPr>
      <w:r>
        <w:rPr>
          <w:rFonts w:ascii="Arial"/>
          <w:i/>
          <w:iCs/>
        </w:rPr>
        <w:t xml:space="preserve">Joyce Yao MD, </w:t>
      </w:r>
      <w:r>
        <w:rPr>
          <w:rFonts w:ascii="Arial"/>
        </w:rPr>
        <w:t>University of Florida College of Medicine, Jacksonville, Florida, USA</w:t>
      </w:r>
    </w:p>
    <w:p w14:paraId="0ACA5B76" w14:textId="77777777" w:rsidR="000B1A64" w:rsidRDefault="000B1A64" w:rsidP="000B1A64">
      <w:pPr>
        <w:pStyle w:val="BodyText"/>
        <w:spacing w:before="73" w:line="198" w:lineRule="exact"/>
        <w:ind w:left="100" w:right="2770"/>
        <w:rPr>
          <w:rFonts w:ascii="Arial"/>
          <w:i/>
          <w:iCs/>
        </w:rPr>
      </w:pPr>
      <w:r>
        <w:rPr>
          <w:rFonts w:ascii="Arial"/>
          <w:i/>
          <w:iCs/>
        </w:rPr>
        <w:t xml:space="preserve">Dinesh Rao MD, </w:t>
      </w:r>
      <w:r>
        <w:rPr>
          <w:rFonts w:ascii="Arial"/>
        </w:rPr>
        <w:t>University of Florida College of Medicine, Jacksonville, Florida, USA</w:t>
      </w:r>
    </w:p>
    <w:p w14:paraId="10237205" w14:textId="77777777" w:rsidR="000B1A64" w:rsidRPr="00625867" w:rsidRDefault="000B1A64" w:rsidP="000B1A64">
      <w:pPr>
        <w:pStyle w:val="BodyText"/>
        <w:spacing w:before="73" w:line="198" w:lineRule="exact"/>
        <w:ind w:left="100" w:right="3490"/>
        <w:rPr>
          <w:rFonts w:ascii="Arial"/>
        </w:rPr>
      </w:pPr>
      <w:r w:rsidRPr="00CB44F9">
        <w:rPr>
          <w:rFonts w:ascii="Arial"/>
          <w:i/>
          <w:iCs/>
        </w:rPr>
        <w:t>Paul D Mongan MD</w:t>
      </w:r>
      <w:r>
        <w:rPr>
          <w:rFonts w:ascii="Arial"/>
        </w:rPr>
        <w:t>, University of Florida College of Medicine, Jacksonville, Florida, USA</w:t>
      </w:r>
    </w:p>
    <w:p w14:paraId="3AD9ED7A" w14:textId="77777777" w:rsidR="00AE3E37" w:rsidRDefault="00AE3E37">
      <w:pPr>
        <w:pStyle w:val="BodyText"/>
        <w:rPr>
          <w:rFonts w:ascii="Arial"/>
          <w:sz w:val="20"/>
        </w:rPr>
      </w:pPr>
    </w:p>
    <w:p w14:paraId="55783BFC" w14:textId="77777777" w:rsidR="00AE3E37" w:rsidRDefault="00AE3E37">
      <w:pPr>
        <w:pStyle w:val="BodyText"/>
        <w:spacing w:before="3"/>
        <w:rPr>
          <w:rFonts w:ascii="Arial"/>
          <w:sz w:val="21"/>
        </w:rPr>
      </w:pPr>
    </w:p>
    <w:p w14:paraId="00A20426" w14:textId="77777777" w:rsidR="00AE3E37" w:rsidRDefault="00AE3E37">
      <w:pPr>
        <w:rPr>
          <w:rFonts w:ascii="Arial"/>
          <w:sz w:val="21"/>
        </w:rPr>
        <w:sectPr w:rsidR="00AE3E37" w:rsidSect="00EA7F87">
          <w:headerReference w:type="default" r:id="rId8"/>
          <w:footerReference w:type="default" r:id="rId9"/>
          <w:type w:val="continuous"/>
          <w:pgSz w:w="11910" w:h="16840"/>
          <w:pgMar w:top="1740" w:right="600" w:bottom="840" w:left="620" w:header="510" w:footer="850" w:gutter="0"/>
          <w:cols w:space="720"/>
          <w:docGrid w:linePitch="299"/>
        </w:sectPr>
      </w:pPr>
    </w:p>
    <w:p w14:paraId="6285D1D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42D0DDA2" w14:textId="14D15C2C" w:rsidR="009F7F1A" w:rsidRPr="009F7F1A" w:rsidRDefault="009F7F1A" w:rsidP="009F7F1A">
      <w:pPr>
        <w:pStyle w:val="Heading3"/>
        <w:spacing w:before="74"/>
        <w:rPr>
          <w:rFonts w:ascii="Tw Cen MT" w:eastAsia="Tw Cen MT" w:hAnsi="Tw Cen MT" w:cs="Tw Cen MT"/>
          <w:b w:val="0"/>
          <w:bCs w:val="0"/>
          <w:sz w:val="18"/>
          <w:szCs w:val="18"/>
        </w:rPr>
      </w:pPr>
      <w:r w:rsidRPr="009F7F1A">
        <w:rPr>
          <w:rFonts w:ascii="Tw Cen MT" w:eastAsia="Tw Cen MT" w:hAnsi="Tw Cen MT" w:cs="Tw Cen MT"/>
          <w:b w:val="0"/>
          <w:bCs w:val="0"/>
          <w:sz w:val="18"/>
          <w:szCs w:val="18"/>
        </w:rPr>
        <w:t>Statement of the Problem:  Endovascular mechanical thrombectomy (EMT), along with administration of intravenous (IV) tissue plasminogen activator (</w:t>
      </w:r>
      <w:proofErr w:type="spellStart"/>
      <w:r w:rsidRPr="009F7F1A">
        <w:rPr>
          <w:rFonts w:ascii="Tw Cen MT" w:eastAsia="Tw Cen MT" w:hAnsi="Tw Cen MT" w:cs="Tw Cen MT"/>
          <w:b w:val="0"/>
          <w:bCs w:val="0"/>
          <w:sz w:val="18"/>
          <w:szCs w:val="18"/>
        </w:rPr>
        <w:t>tPA</w:t>
      </w:r>
      <w:proofErr w:type="spellEnd"/>
      <w:r w:rsidRPr="009F7F1A">
        <w:rPr>
          <w:rFonts w:ascii="Tw Cen MT" w:eastAsia="Tw Cen MT" w:hAnsi="Tw Cen MT" w:cs="Tw Cen MT"/>
          <w:b w:val="0"/>
          <w:bCs w:val="0"/>
          <w:sz w:val="18"/>
          <w:szCs w:val="18"/>
        </w:rPr>
        <w:t xml:space="preserve">), are standard of care for treatment for patients presenting with acute ischemic stroke (AIS).  With the rapid advancements in both stroke intervention techniques, and patient selection, it is important </w:t>
      </w:r>
      <w:r w:rsidR="00BF1D1D">
        <w:rPr>
          <w:rFonts w:ascii="Tw Cen MT" w:eastAsia="Tw Cen MT" w:hAnsi="Tw Cen MT" w:cs="Tw Cen MT"/>
          <w:b w:val="0"/>
          <w:bCs w:val="0"/>
          <w:sz w:val="18"/>
          <w:szCs w:val="18"/>
        </w:rPr>
        <w:t>determine if there are differences in</w:t>
      </w:r>
      <w:r w:rsidRPr="009F7F1A">
        <w:rPr>
          <w:rFonts w:ascii="Tw Cen MT" w:eastAsia="Tw Cen MT" w:hAnsi="Tw Cen MT" w:cs="Tw Cen MT"/>
          <w:b w:val="0"/>
          <w:bCs w:val="0"/>
          <w:sz w:val="18"/>
          <w:szCs w:val="18"/>
        </w:rPr>
        <w:t xml:space="preserve"> clinical outcome </w:t>
      </w:r>
      <w:r w:rsidR="00BF1D1D">
        <w:rPr>
          <w:rFonts w:ascii="Tw Cen MT" w:eastAsia="Tw Cen MT" w:hAnsi="Tw Cen MT" w:cs="Tw Cen MT"/>
          <w:b w:val="0"/>
          <w:bCs w:val="0"/>
          <w:sz w:val="18"/>
          <w:szCs w:val="18"/>
        </w:rPr>
        <w:t>between the</w:t>
      </w:r>
      <w:r w:rsidR="00BF1D1D" w:rsidRPr="009F7F1A">
        <w:rPr>
          <w:rFonts w:ascii="Tw Cen MT" w:eastAsia="Tw Cen MT" w:hAnsi="Tw Cen MT" w:cs="Tw Cen MT"/>
          <w:b w:val="0"/>
          <w:bCs w:val="0"/>
          <w:sz w:val="18"/>
          <w:szCs w:val="18"/>
        </w:rPr>
        <w:t xml:space="preserve"> </w:t>
      </w:r>
      <w:r w:rsidRPr="009F7F1A">
        <w:rPr>
          <w:rFonts w:ascii="Tw Cen MT" w:eastAsia="Tw Cen MT" w:hAnsi="Tw Cen MT" w:cs="Tw Cen MT"/>
          <w:b w:val="0"/>
          <w:bCs w:val="0"/>
          <w:sz w:val="18"/>
          <w:szCs w:val="18"/>
        </w:rPr>
        <w:t xml:space="preserve">use of general anesthesia (GA) </w:t>
      </w:r>
      <w:r w:rsidR="00BF1D1D">
        <w:rPr>
          <w:rFonts w:ascii="Tw Cen MT" w:eastAsia="Tw Cen MT" w:hAnsi="Tw Cen MT" w:cs="Tw Cen MT"/>
          <w:b w:val="0"/>
          <w:bCs w:val="0"/>
          <w:sz w:val="18"/>
          <w:szCs w:val="18"/>
        </w:rPr>
        <w:t>and</w:t>
      </w:r>
      <w:r w:rsidR="00BF1D1D" w:rsidRPr="009F7F1A">
        <w:rPr>
          <w:rFonts w:ascii="Tw Cen MT" w:eastAsia="Tw Cen MT" w:hAnsi="Tw Cen MT" w:cs="Tw Cen MT"/>
          <w:b w:val="0"/>
          <w:bCs w:val="0"/>
          <w:sz w:val="18"/>
          <w:szCs w:val="18"/>
        </w:rPr>
        <w:t xml:space="preserve"> </w:t>
      </w:r>
      <w:r w:rsidRPr="009F7F1A">
        <w:rPr>
          <w:rFonts w:ascii="Tw Cen MT" w:eastAsia="Tw Cen MT" w:hAnsi="Tw Cen MT" w:cs="Tw Cen MT"/>
          <w:b w:val="0"/>
          <w:bCs w:val="0"/>
          <w:sz w:val="18"/>
          <w:szCs w:val="18"/>
        </w:rPr>
        <w:t xml:space="preserve">conscious sedation (SED).  It remains unclear if GA by itself is a risk factor for poorer clinical outcomes in patients undergoing </w:t>
      </w:r>
      <w:r w:rsidR="00BF1D1D">
        <w:rPr>
          <w:rFonts w:ascii="Tw Cen MT" w:eastAsia="Tw Cen MT" w:hAnsi="Tw Cen MT" w:cs="Tw Cen MT"/>
          <w:b w:val="0"/>
          <w:bCs w:val="0"/>
          <w:sz w:val="18"/>
          <w:szCs w:val="18"/>
        </w:rPr>
        <w:t xml:space="preserve">mechanical </w:t>
      </w:r>
      <w:proofErr w:type="spellStart"/>
      <w:r w:rsidR="00BF1D1D">
        <w:rPr>
          <w:rFonts w:ascii="Tw Cen MT" w:eastAsia="Tw Cen MT" w:hAnsi="Tw Cen MT" w:cs="Tw Cen MT"/>
          <w:b w:val="0"/>
          <w:bCs w:val="0"/>
          <w:sz w:val="18"/>
          <w:szCs w:val="18"/>
        </w:rPr>
        <w:t>thrombectomy</w:t>
      </w:r>
      <w:proofErr w:type="spellEnd"/>
      <w:r w:rsidRPr="009F7F1A">
        <w:rPr>
          <w:rFonts w:ascii="Tw Cen MT" w:eastAsia="Tw Cen MT" w:hAnsi="Tw Cen MT" w:cs="Tw Cen MT"/>
          <w:b w:val="0"/>
          <w:bCs w:val="0"/>
          <w:sz w:val="18"/>
          <w:szCs w:val="18"/>
        </w:rPr>
        <w:t xml:space="preserve">.  </w:t>
      </w:r>
    </w:p>
    <w:p w14:paraId="61D366B1" w14:textId="77777777" w:rsidR="009F7F1A" w:rsidRPr="009F7F1A" w:rsidRDefault="009F7F1A" w:rsidP="009F7F1A">
      <w:pPr>
        <w:pStyle w:val="Heading3"/>
        <w:spacing w:before="74"/>
        <w:rPr>
          <w:rFonts w:ascii="Tw Cen MT" w:eastAsia="Tw Cen MT" w:hAnsi="Tw Cen MT" w:cs="Tw Cen MT"/>
          <w:b w:val="0"/>
          <w:bCs w:val="0"/>
          <w:sz w:val="18"/>
          <w:szCs w:val="18"/>
        </w:rPr>
      </w:pPr>
    </w:p>
    <w:p w14:paraId="06178226" w14:textId="0DDFAF9D" w:rsidR="009F7F1A" w:rsidRPr="009F7F1A" w:rsidRDefault="009F7F1A" w:rsidP="009F7F1A">
      <w:pPr>
        <w:pStyle w:val="Heading3"/>
        <w:spacing w:before="74"/>
        <w:rPr>
          <w:rFonts w:ascii="Tw Cen MT" w:eastAsia="Tw Cen MT" w:hAnsi="Tw Cen MT" w:cs="Tw Cen MT"/>
          <w:b w:val="0"/>
          <w:bCs w:val="0"/>
          <w:sz w:val="18"/>
          <w:szCs w:val="18"/>
        </w:rPr>
      </w:pPr>
      <w:r w:rsidRPr="009F7F1A">
        <w:rPr>
          <w:rFonts w:ascii="Tw Cen MT" w:eastAsia="Tw Cen MT" w:hAnsi="Tw Cen MT" w:cs="Tw Cen MT"/>
          <w:b w:val="0"/>
          <w:bCs w:val="0"/>
          <w:sz w:val="18"/>
          <w:szCs w:val="18"/>
        </w:rPr>
        <w:t xml:space="preserve">Methodology: This retrospective study was approved by the University of Florida Institutional Review Board (UF IRB). Data was collected and analyzed from 88 consecutive patients who presented to the UF Health Jacksonville emergency department from January 2017 to November 2019. This study included 88 patients who were diagnosed with </w:t>
      </w:r>
      <w:r w:rsidR="00BF1D1D">
        <w:rPr>
          <w:rFonts w:ascii="Tw Cen MT" w:eastAsia="Tw Cen MT" w:hAnsi="Tw Cen MT" w:cs="Tw Cen MT"/>
          <w:b w:val="0"/>
          <w:bCs w:val="0"/>
          <w:sz w:val="18"/>
          <w:szCs w:val="18"/>
        </w:rPr>
        <w:t xml:space="preserve">AIS </w:t>
      </w:r>
      <w:r w:rsidRPr="009F7F1A">
        <w:rPr>
          <w:rFonts w:ascii="Tw Cen MT" w:eastAsia="Tw Cen MT" w:hAnsi="Tw Cen MT" w:cs="Tw Cen MT"/>
          <w:b w:val="0"/>
          <w:bCs w:val="0"/>
          <w:sz w:val="18"/>
          <w:szCs w:val="18"/>
        </w:rPr>
        <w:t xml:space="preserve">with large vessel occlusion in the anterior circulation, and </w:t>
      </w:r>
      <w:r w:rsidR="00BF1D1D">
        <w:rPr>
          <w:rFonts w:ascii="Tw Cen MT" w:eastAsia="Tw Cen MT" w:hAnsi="Tw Cen MT" w:cs="Tw Cen MT"/>
          <w:b w:val="0"/>
          <w:bCs w:val="0"/>
          <w:sz w:val="18"/>
          <w:szCs w:val="18"/>
        </w:rPr>
        <w:t>subsequently</w:t>
      </w:r>
      <w:r w:rsidRPr="009F7F1A">
        <w:rPr>
          <w:rFonts w:ascii="Tw Cen MT" w:eastAsia="Tw Cen MT" w:hAnsi="Tw Cen MT" w:cs="Tw Cen MT"/>
          <w:b w:val="0"/>
          <w:bCs w:val="0"/>
          <w:sz w:val="18"/>
          <w:szCs w:val="18"/>
        </w:rPr>
        <w:t xml:space="preserve"> underwent mechanical thrombectomy with or without prior IV </w:t>
      </w:r>
      <w:proofErr w:type="spellStart"/>
      <w:proofErr w:type="gramStart"/>
      <w:r w:rsidRPr="009F7F1A">
        <w:rPr>
          <w:rFonts w:ascii="Tw Cen MT" w:eastAsia="Tw Cen MT" w:hAnsi="Tw Cen MT" w:cs="Tw Cen MT"/>
          <w:b w:val="0"/>
          <w:bCs w:val="0"/>
          <w:sz w:val="18"/>
          <w:szCs w:val="18"/>
        </w:rPr>
        <w:t>tPA</w:t>
      </w:r>
      <w:proofErr w:type="spellEnd"/>
      <w:proofErr w:type="gramEnd"/>
      <w:r w:rsidRPr="009F7F1A">
        <w:rPr>
          <w:rFonts w:ascii="Tw Cen MT" w:eastAsia="Tw Cen MT" w:hAnsi="Tw Cen MT" w:cs="Tw Cen MT"/>
          <w:b w:val="0"/>
          <w:bCs w:val="0"/>
          <w:sz w:val="18"/>
          <w:szCs w:val="18"/>
        </w:rPr>
        <w:t xml:space="preserve"> under GA (34 patients) or SED (54 patients). </w:t>
      </w:r>
      <w:r w:rsidR="00BF1D1D">
        <w:rPr>
          <w:rFonts w:ascii="Tw Cen MT" w:eastAsia="Tw Cen MT" w:hAnsi="Tw Cen MT" w:cs="Tw Cen MT"/>
          <w:b w:val="0"/>
          <w:bCs w:val="0"/>
          <w:sz w:val="18"/>
          <w:szCs w:val="18"/>
        </w:rPr>
        <w:t>Patients with</w:t>
      </w:r>
      <w:r w:rsidRPr="009F7F1A">
        <w:rPr>
          <w:rFonts w:ascii="Tw Cen MT" w:eastAsia="Tw Cen MT" w:hAnsi="Tw Cen MT" w:cs="Tw Cen MT"/>
          <w:b w:val="0"/>
          <w:bCs w:val="0"/>
          <w:sz w:val="18"/>
          <w:szCs w:val="18"/>
        </w:rPr>
        <w:t xml:space="preserve"> occlusion of the internal carotid artery, M1 and/or M2 segment of the middle cerebral artery</w:t>
      </w:r>
      <w:r w:rsidR="00BF1D1D">
        <w:rPr>
          <w:rFonts w:ascii="Tw Cen MT" w:eastAsia="Tw Cen MT" w:hAnsi="Tw Cen MT" w:cs="Tw Cen MT"/>
          <w:b w:val="0"/>
          <w:bCs w:val="0"/>
          <w:sz w:val="18"/>
          <w:szCs w:val="18"/>
        </w:rPr>
        <w:t xml:space="preserve"> were included</w:t>
      </w:r>
      <w:r w:rsidRPr="009F7F1A">
        <w:rPr>
          <w:rFonts w:ascii="Tw Cen MT" w:eastAsia="Tw Cen MT" w:hAnsi="Tw Cen MT" w:cs="Tw Cen MT"/>
          <w:b w:val="0"/>
          <w:bCs w:val="0"/>
          <w:sz w:val="18"/>
          <w:szCs w:val="18"/>
        </w:rPr>
        <w:t xml:space="preserve">. Data </w:t>
      </w:r>
      <w:r w:rsidR="00BF1D1D">
        <w:rPr>
          <w:rFonts w:ascii="Tw Cen MT" w:eastAsia="Tw Cen MT" w:hAnsi="Tw Cen MT" w:cs="Tw Cen MT"/>
          <w:b w:val="0"/>
          <w:bCs w:val="0"/>
          <w:sz w:val="18"/>
          <w:szCs w:val="18"/>
        </w:rPr>
        <w:t>was collected</w:t>
      </w:r>
      <w:r w:rsidR="00BF1D1D" w:rsidRPr="009F7F1A">
        <w:rPr>
          <w:rFonts w:ascii="Tw Cen MT" w:eastAsia="Tw Cen MT" w:hAnsi="Tw Cen MT" w:cs="Tw Cen MT"/>
          <w:b w:val="0"/>
          <w:bCs w:val="0"/>
          <w:sz w:val="18"/>
          <w:szCs w:val="18"/>
        </w:rPr>
        <w:t xml:space="preserve"> </w:t>
      </w:r>
      <w:r w:rsidRPr="009F7F1A">
        <w:rPr>
          <w:rFonts w:ascii="Tw Cen MT" w:eastAsia="Tw Cen MT" w:hAnsi="Tw Cen MT" w:cs="Tw Cen MT"/>
          <w:b w:val="0"/>
          <w:bCs w:val="0"/>
          <w:sz w:val="18"/>
          <w:szCs w:val="18"/>
        </w:rPr>
        <w:t>includ</w:t>
      </w:r>
      <w:r w:rsidR="00BF1D1D">
        <w:rPr>
          <w:rFonts w:ascii="Tw Cen MT" w:eastAsia="Tw Cen MT" w:hAnsi="Tw Cen MT" w:cs="Tw Cen MT"/>
          <w:b w:val="0"/>
          <w:bCs w:val="0"/>
          <w:sz w:val="18"/>
          <w:szCs w:val="18"/>
        </w:rPr>
        <w:t>ing</w:t>
      </w:r>
      <w:r w:rsidRPr="009F7F1A">
        <w:rPr>
          <w:rFonts w:ascii="Tw Cen MT" w:eastAsia="Tw Cen MT" w:hAnsi="Tw Cen MT" w:cs="Tw Cen MT"/>
          <w:b w:val="0"/>
          <w:bCs w:val="0"/>
          <w:sz w:val="18"/>
          <w:szCs w:val="18"/>
        </w:rPr>
        <w:t xml:space="preserve"> demographics, clinical data, imaging data, and procedural times (table 1). </w:t>
      </w:r>
    </w:p>
    <w:p w14:paraId="4EE8AA38" w14:textId="77777777" w:rsidR="009F7F1A" w:rsidRPr="009F7F1A" w:rsidRDefault="009F7F1A" w:rsidP="009F7F1A">
      <w:pPr>
        <w:pStyle w:val="Heading3"/>
        <w:spacing w:before="74"/>
        <w:rPr>
          <w:rFonts w:ascii="Tw Cen MT" w:eastAsia="Tw Cen MT" w:hAnsi="Tw Cen MT" w:cs="Tw Cen MT"/>
          <w:b w:val="0"/>
          <w:bCs w:val="0"/>
          <w:sz w:val="18"/>
          <w:szCs w:val="18"/>
        </w:rPr>
      </w:pPr>
    </w:p>
    <w:p w14:paraId="4ED70BF2" w14:textId="77777777" w:rsidR="009F7F1A" w:rsidRPr="009F7F1A" w:rsidRDefault="009F7F1A" w:rsidP="009F7F1A">
      <w:pPr>
        <w:pStyle w:val="Heading3"/>
        <w:spacing w:before="74"/>
        <w:rPr>
          <w:rFonts w:ascii="Tw Cen MT" w:eastAsia="Tw Cen MT" w:hAnsi="Tw Cen MT" w:cs="Tw Cen MT"/>
          <w:b w:val="0"/>
          <w:bCs w:val="0"/>
          <w:sz w:val="18"/>
          <w:szCs w:val="18"/>
        </w:rPr>
      </w:pPr>
      <w:r w:rsidRPr="009F7F1A">
        <w:rPr>
          <w:rFonts w:ascii="Tw Cen MT" w:eastAsia="Tw Cen MT" w:hAnsi="Tw Cen MT" w:cs="Tw Cen MT"/>
          <w:b w:val="0"/>
          <w:bCs w:val="0"/>
          <w:sz w:val="18"/>
          <w:szCs w:val="18"/>
        </w:rPr>
        <w:t xml:space="preserve">Findings: Table 1 demonstrates comparative analysis between anesthesia type and intervention times. Door to groin puncture time and door to recanalization were statistically significant with SED group having faster times.  Table 2 shows additional analysis for mortality which was not statistically significant between the groups.  </w:t>
      </w:r>
    </w:p>
    <w:p w14:paraId="2AF22872" w14:textId="77777777" w:rsidR="009F7F1A" w:rsidRPr="009F7F1A" w:rsidRDefault="009F7F1A" w:rsidP="009F7F1A">
      <w:pPr>
        <w:pStyle w:val="Heading3"/>
        <w:spacing w:before="74"/>
        <w:rPr>
          <w:rFonts w:ascii="Tw Cen MT" w:eastAsia="Tw Cen MT" w:hAnsi="Tw Cen MT" w:cs="Tw Cen MT"/>
          <w:b w:val="0"/>
          <w:bCs w:val="0"/>
          <w:sz w:val="18"/>
          <w:szCs w:val="18"/>
        </w:rPr>
      </w:pPr>
    </w:p>
    <w:p w14:paraId="2706559D" w14:textId="77777777" w:rsidR="00AE3E37" w:rsidRDefault="009F7F1A" w:rsidP="009F7F1A">
      <w:pPr>
        <w:pStyle w:val="Heading3"/>
        <w:spacing w:before="74"/>
      </w:pPr>
      <w:r w:rsidRPr="009F7F1A">
        <w:rPr>
          <w:rFonts w:ascii="Tw Cen MT" w:eastAsia="Tw Cen MT" w:hAnsi="Tw Cen MT" w:cs="Tw Cen MT"/>
          <w:b w:val="0"/>
          <w:bCs w:val="0"/>
          <w:sz w:val="18"/>
          <w:szCs w:val="18"/>
        </w:rPr>
        <w:t xml:space="preserve">Conclusion and Significance: Patients undergoing MET for with SED had lower door to needle times and better radiographic recanalization compared to patients with GA, however no changes in mortality or post event functional status were seen.  Both anesthetic techniques were shown to be acceptable.  </w:t>
      </w:r>
      <w:r w:rsidR="00A9710C">
        <w:rPr>
          <w:b w:val="0"/>
        </w:rPr>
        <w:br w:type="column"/>
      </w:r>
      <w:r w:rsidR="00A9710C">
        <w:rPr>
          <w:color w:val="BF5A14"/>
        </w:rPr>
        <w:lastRenderedPageBreak/>
        <w:t>Image</w:t>
      </w:r>
    </w:p>
    <w:p w14:paraId="390F245A" w14:textId="77777777" w:rsidR="00AE3E37" w:rsidRDefault="009F7F1A">
      <w:pPr>
        <w:pStyle w:val="BodyText"/>
        <w:spacing w:before="2"/>
        <w:rPr>
          <w:rFonts w:ascii="Arial"/>
          <w:b/>
          <w:sz w:val="16"/>
        </w:rPr>
      </w:pPr>
      <w:r>
        <w:rPr>
          <w:rFonts w:ascii="Arial"/>
          <w:b/>
          <w:noProof/>
          <w:sz w:val="16"/>
        </w:rPr>
        <w:drawing>
          <wp:inline distT="0" distB="0" distL="0" distR="0" wp14:anchorId="7B92493B" wp14:editId="361067CD">
            <wp:extent cx="3263317" cy="4333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8096" cy="4340222"/>
                    </a:xfrm>
                    <a:prstGeom prst="rect">
                      <a:avLst/>
                    </a:prstGeom>
                    <a:noFill/>
                  </pic:spPr>
                </pic:pic>
              </a:graphicData>
            </a:graphic>
          </wp:inline>
        </w:drawing>
      </w:r>
    </w:p>
    <w:p w14:paraId="14F2730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432ACD4" w14:textId="77777777" w:rsidR="005973B9" w:rsidRPr="00C253E3" w:rsidRDefault="00320570" w:rsidP="00320570">
      <w:pPr>
        <w:pStyle w:val="ListParagraph"/>
        <w:numPr>
          <w:ilvl w:val="0"/>
          <w:numId w:val="4"/>
        </w:numPr>
        <w:tabs>
          <w:tab w:val="left" w:pos="384"/>
        </w:tabs>
        <w:spacing w:line="216" w:lineRule="exact"/>
        <w:ind w:right="137" w:hanging="283"/>
        <w:rPr>
          <w:rFonts w:asciiTheme="minorHAnsi" w:hAnsiTheme="minorHAnsi"/>
          <w:sz w:val="18"/>
          <w:szCs w:val="18"/>
        </w:rPr>
      </w:pPr>
      <w:r w:rsidRPr="00C253E3">
        <w:rPr>
          <w:rFonts w:asciiTheme="minorHAnsi" w:hAnsiTheme="minorHAnsi" w:cstheme="minorHAnsi"/>
          <w:noProof/>
          <w:sz w:val="18"/>
          <w:szCs w:val="18"/>
        </w:rPr>
        <w:t>Chen CJ, Chuang TY, Hansen L, Dutta S, Ding D, Buell TJ, Ironside N, Patibandla MR, Southerland AM, Worrall BB, Kalani MYS. Predictors of 30-day mortality after endovascular mechanical thrombectomy for acute ischemic stroke. J Clin Neurosci 2018;57:38-42.</w:t>
      </w:r>
    </w:p>
    <w:p w14:paraId="171D1517" w14:textId="77777777" w:rsidR="00320570" w:rsidRPr="00C253E3" w:rsidRDefault="00320570" w:rsidP="00320570">
      <w:pPr>
        <w:pStyle w:val="ListParagraph"/>
        <w:numPr>
          <w:ilvl w:val="0"/>
          <w:numId w:val="4"/>
        </w:numPr>
        <w:tabs>
          <w:tab w:val="left" w:pos="384"/>
        </w:tabs>
        <w:spacing w:before="92" w:line="218" w:lineRule="exact"/>
        <w:ind w:hanging="283"/>
        <w:rPr>
          <w:rFonts w:asciiTheme="minorHAnsi" w:hAnsiTheme="minorHAnsi"/>
          <w:sz w:val="18"/>
          <w:szCs w:val="18"/>
        </w:rPr>
      </w:pPr>
      <w:r w:rsidRPr="00C253E3">
        <w:rPr>
          <w:rFonts w:asciiTheme="minorHAnsi" w:hAnsiTheme="minorHAnsi" w:cstheme="minorHAnsi"/>
          <w:noProof/>
          <w:sz w:val="18"/>
          <w:szCs w:val="18"/>
        </w:rPr>
        <w:t>Zhang Y, Jia L, Fang F, Ma L, Cai B, Faramand A. General Anesthesia Versus Conscious Sedation for Intracranial Mechanical Thrombectomy: A Systematic Review and Meta-analysis of Randomized Clinical Trials. J Am Heart Assoc 2019;8:e011754.</w:t>
      </w:r>
    </w:p>
    <w:p w14:paraId="51BEBF30" w14:textId="77777777" w:rsidR="00320570" w:rsidRPr="00C253E3" w:rsidRDefault="00320570" w:rsidP="00320570">
      <w:pPr>
        <w:pStyle w:val="ListParagraph"/>
        <w:numPr>
          <w:ilvl w:val="0"/>
          <w:numId w:val="4"/>
        </w:numPr>
        <w:tabs>
          <w:tab w:val="left" w:pos="384"/>
        </w:tabs>
        <w:spacing w:before="92" w:line="218" w:lineRule="exact"/>
        <w:ind w:hanging="283"/>
        <w:rPr>
          <w:rFonts w:asciiTheme="minorHAnsi" w:hAnsiTheme="minorHAnsi"/>
          <w:sz w:val="18"/>
          <w:szCs w:val="18"/>
        </w:rPr>
      </w:pPr>
      <w:r w:rsidRPr="00C253E3">
        <w:rPr>
          <w:rFonts w:asciiTheme="minorHAnsi" w:hAnsiTheme="minorHAnsi" w:cstheme="minorHAnsi"/>
          <w:noProof/>
          <w:sz w:val="18"/>
          <w:szCs w:val="18"/>
        </w:rPr>
        <w:t>Lowhagen Henden P, Rentzos A, Karlsson JE, Rosengren L, Leiram B, Sundeman H, Dunker D, Schnabel K, Wikholm G, Hellstrom M, Ricksten SE. General Anesthesia Versus Conscious Sedation for Endovascular Treatment of Acute Ischemic Stroke: The AnStroke Trial (Anesthesia During Stroke). Stroke 2017;48:1601-7.</w:t>
      </w:r>
    </w:p>
    <w:p w14:paraId="1DB9783F" w14:textId="77777777" w:rsidR="00C253E3" w:rsidRPr="00C253E3" w:rsidRDefault="00C253E3" w:rsidP="00C253E3">
      <w:pPr>
        <w:pStyle w:val="ListParagraph"/>
        <w:numPr>
          <w:ilvl w:val="0"/>
          <w:numId w:val="4"/>
        </w:numPr>
        <w:tabs>
          <w:tab w:val="left" w:pos="384"/>
        </w:tabs>
        <w:spacing w:before="92" w:line="218" w:lineRule="exact"/>
        <w:rPr>
          <w:rFonts w:asciiTheme="minorHAnsi" w:hAnsiTheme="minorHAnsi"/>
          <w:sz w:val="18"/>
          <w:szCs w:val="18"/>
        </w:rPr>
      </w:pPr>
      <w:proofErr w:type="spellStart"/>
      <w:r w:rsidRPr="00C253E3">
        <w:rPr>
          <w:rFonts w:asciiTheme="minorHAnsi" w:hAnsiTheme="minorHAnsi"/>
          <w:sz w:val="18"/>
          <w:szCs w:val="18"/>
        </w:rPr>
        <w:lastRenderedPageBreak/>
        <w:t>Schönenberger</w:t>
      </w:r>
      <w:proofErr w:type="spellEnd"/>
      <w:r w:rsidRPr="00C253E3">
        <w:rPr>
          <w:rFonts w:asciiTheme="minorHAnsi" w:hAnsiTheme="minorHAnsi"/>
          <w:sz w:val="18"/>
          <w:szCs w:val="18"/>
        </w:rPr>
        <w:t xml:space="preserve"> S, </w:t>
      </w:r>
      <w:proofErr w:type="spellStart"/>
      <w:r w:rsidRPr="00C253E3">
        <w:rPr>
          <w:rFonts w:asciiTheme="minorHAnsi" w:hAnsiTheme="minorHAnsi"/>
          <w:sz w:val="18"/>
          <w:szCs w:val="18"/>
        </w:rPr>
        <w:t>Hendén</w:t>
      </w:r>
      <w:proofErr w:type="spellEnd"/>
      <w:r w:rsidRPr="00C253E3">
        <w:rPr>
          <w:rFonts w:asciiTheme="minorHAnsi" w:hAnsiTheme="minorHAnsi"/>
          <w:sz w:val="18"/>
          <w:szCs w:val="18"/>
        </w:rPr>
        <w:t xml:space="preserve"> PL, Simonsen CZ, Uhlmann L, Klose C, Pfaff JAR, </w:t>
      </w:r>
      <w:proofErr w:type="spellStart"/>
      <w:r w:rsidRPr="00C253E3">
        <w:rPr>
          <w:rFonts w:asciiTheme="minorHAnsi" w:hAnsiTheme="minorHAnsi"/>
          <w:sz w:val="18"/>
          <w:szCs w:val="18"/>
        </w:rPr>
        <w:t>YooAJ</w:t>
      </w:r>
      <w:proofErr w:type="spellEnd"/>
      <w:r w:rsidRPr="00C253E3">
        <w:rPr>
          <w:rFonts w:asciiTheme="minorHAnsi" w:hAnsiTheme="minorHAnsi"/>
          <w:sz w:val="18"/>
          <w:szCs w:val="18"/>
        </w:rPr>
        <w:t xml:space="preserve">, </w:t>
      </w:r>
      <w:proofErr w:type="spellStart"/>
      <w:r w:rsidRPr="00C253E3">
        <w:rPr>
          <w:rFonts w:asciiTheme="minorHAnsi" w:hAnsiTheme="minorHAnsi"/>
          <w:sz w:val="18"/>
          <w:szCs w:val="18"/>
        </w:rPr>
        <w:t>Sørensen</w:t>
      </w:r>
      <w:proofErr w:type="spellEnd"/>
      <w:r w:rsidRPr="00C253E3">
        <w:rPr>
          <w:rFonts w:asciiTheme="minorHAnsi" w:hAnsiTheme="minorHAnsi"/>
          <w:sz w:val="18"/>
          <w:szCs w:val="18"/>
        </w:rPr>
        <w:t xml:space="preserve"> LH, </w:t>
      </w:r>
      <w:proofErr w:type="spellStart"/>
      <w:r w:rsidRPr="00C253E3">
        <w:rPr>
          <w:rFonts w:asciiTheme="minorHAnsi" w:hAnsiTheme="minorHAnsi"/>
          <w:sz w:val="18"/>
          <w:szCs w:val="18"/>
        </w:rPr>
        <w:t>Ringleb</w:t>
      </w:r>
      <w:proofErr w:type="spellEnd"/>
      <w:r w:rsidRPr="00C253E3">
        <w:rPr>
          <w:rFonts w:asciiTheme="minorHAnsi" w:hAnsiTheme="minorHAnsi"/>
          <w:sz w:val="18"/>
          <w:szCs w:val="18"/>
        </w:rPr>
        <w:t xml:space="preserve"> PA, Wick W, </w:t>
      </w:r>
      <w:proofErr w:type="spellStart"/>
      <w:r w:rsidRPr="00C253E3">
        <w:rPr>
          <w:rFonts w:asciiTheme="minorHAnsi" w:hAnsiTheme="minorHAnsi"/>
          <w:sz w:val="18"/>
          <w:szCs w:val="18"/>
        </w:rPr>
        <w:t>Kieser</w:t>
      </w:r>
      <w:proofErr w:type="spellEnd"/>
      <w:r w:rsidRPr="00C253E3">
        <w:rPr>
          <w:rFonts w:asciiTheme="minorHAnsi" w:hAnsiTheme="minorHAnsi"/>
          <w:sz w:val="18"/>
          <w:szCs w:val="18"/>
        </w:rPr>
        <w:t xml:space="preserve"> M, </w:t>
      </w:r>
      <w:proofErr w:type="spellStart"/>
      <w:r w:rsidRPr="00C253E3">
        <w:rPr>
          <w:rFonts w:asciiTheme="minorHAnsi" w:hAnsiTheme="minorHAnsi"/>
          <w:sz w:val="18"/>
          <w:szCs w:val="18"/>
        </w:rPr>
        <w:t>Möhlenbruch</w:t>
      </w:r>
      <w:proofErr w:type="spellEnd"/>
      <w:r w:rsidRPr="00C253E3">
        <w:rPr>
          <w:rFonts w:asciiTheme="minorHAnsi" w:hAnsiTheme="minorHAnsi"/>
          <w:sz w:val="18"/>
          <w:szCs w:val="18"/>
        </w:rPr>
        <w:t xml:space="preserve"> MA, Rasmussen </w:t>
      </w:r>
      <w:proofErr w:type="spellStart"/>
      <w:r w:rsidRPr="00C253E3">
        <w:rPr>
          <w:rFonts w:asciiTheme="minorHAnsi" w:hAnsiTheme="minorHAnsi"/>
          <w:sz w:val="18"/>
          <w:szCs w:val="18"/>
        </w:rPr>
        <w:t>M,Rentzos</w:t>
      </w:r>
      <w:proofErr w:type="spellEnd"/>
      <w:r w:rsidRPr="00C253E3">
        <w:rPr>
          <w:rFonts w:asciiTheme="minorHAnsi" w:hAnsiTheme="minorHAnsi"/>
          <w:sz w:val="18"/>
          <w:szCs w:val="18"/>
        </w:rPr>
        <w:t xml:space="preserve"> A, </w:t>
      </w:r>
      <w:proofErr w:type="spellStart"/>
      <w:r w:rsidRPr="00C253E3">
        <w:rPr>
          <w:rFonts w:asciiTheme="minorHAnsi" w:hAnsiTheme="minorHAnsi"/>
          <w:sz w:val="18"/>
          <w:szCs w:val="18"/>
        </w:rPr>
        <w:t>Bösel</w:t>
      </w:r>
      <w:proofErr w:type="spellEnd"/>
      <w:r w:rsidRPr="00C253E3">
        <w:rPr>
          <w:rFonts w:asciiTheme="minorHAnsi" w:hAnsiTheme="minorHAnsi"/>
          <w:sz w:val="18"/>
          <w:szCs w:val="18"/>
        </w:rPr>
        <w:t xml:space="preserve"> J. Association of General Anesthesia vs Procedural Sedation </w:t>
      </w:r>
      <w:proofErr w:type="spellStart"/>
      <w:r w:rsidRPr="00C253E3">
        <w:rPr>
          <w:rFonts w:asciiTheme="minorHAnsi" w:hAnsiTheme="minorHAnsi"/>
          <w:sz w:val="18"/>
          <w:szCs w:val="18"/>
        </w:rPr>
        <w:t>WithFunctional</w:t>
      </w:r>
      <w:proofErr w:type="spellEnd"/>
      <w:r w:rsidRPr="00C253E3">
        <w:rPr>
          <w:rFonts w:asciiTheme="minorHAnsi" w:hAnsiTheme="minorHAnsi"/>
          <w:sz w:val="18"/>
          <w:szCs w:val="18"/>
        </w:rPr>
        <w:t xml:space="preserve"> Outcome Among Patients With Acute Ischemic Stroke </w:t>
      </w:r>
      <w:proofErr w:type="spellStart"/>
      <w:r w:rsidRPr="00C253E3">
        <w:rPr>
          <w:rFonts w:asciiTheme="minorHAnsi" w:hAnsiTheme="minorHAnsi"/>
          <w:sz w:val="18"/>
          <w:szCs w:val="18"/>
        </w:rPr>
        <w:t>UndergoingThrombectomy</w:t>
      </w:r>
      <w:proofErr w:type="spellEnd"/>
      <w:r w:rsidRPr="00C253E3">
        <w:rPr>
          <w:rFonts w:asciiTheme="minorHAnsi" w:hAnsiTheme="minorHAnsi"/>
          <w:sz w:val="18"/>
          <w:szCs w:val="18"/>
        </w:rPr>
        <w:t>: A Systematic Review and Meta-analysis. JAMA. 2019 Oct1;322(13):1283-1293.</w:t>
      </w:r>
    </w:p>
    <w:p w14:paraId="6F46BA43" w14:textId="77777777" w:rsidR="00C253E3" w:rsidRPr="00C253E3" w:rsidRDefault="00C253E3" w:rsidP="00C253E3">
      <w:pPr>
        <w:pStyle w:val="ListParagraph"/>
        <w:numPr>
          <w:ilvl w:val="0"/>
          <w:numId w:val="4"/>
        </w:numPr>
        <w:tabs>
          <w:tab w:val="left" w:pos="384"/>
        </w:tabs>
        <w:spacing w:before="92" w:line="218" w:lineRule="exact"/>
        <w:rPr>
          <w:rFonts w:asciiTheme="minorHAnsi" w:hAnsiTheme="minorHAnsi"/>
          <w:sz w:val="18"/>
          <w:szCs w:val="18"/>
        </w:rPr>
      </w:pPr>
      <w:proofErr w:type="spellStart"/>
      <w:r w:rsidRPr="00C253E3">
        <w:rPr>
          <w:rFonts w:asciiTheme="minorHAnsi" w:hAnsiTheme="minorHAnsi"/>
          <w:sz w:val="18"/>
          <w:szCs w:val="18"/>
        </w:rPr>
        <w:lastRenderedPageBreak/>
        <w:t>Brinjikhi</w:t>
      </w:r>
      <w:proofErr w:type="spellEnd"/>
      <w:r w:rsidRPr="00C253E3">
        <w:rPr>
          <w:rFonts w:asciiTheme="minorHAnsi" w:hAnsiTheme="minorHAnsi"/>
          <w:sz w:val="18"/>
          <w:szCs w:val="18"/>
        </w:rPr>
        <w:t xml:space="preserve"> W, Murad MH, </w:t>
      </w:r>
      <w:proofErr w:type="spellStart"/>
      <w:r w:rsidRPr="00C253E3">
        <w:rPr>
          <w:rFonts w:asciiTheme="minorHAnsi" w:hAnsiTheme="minorHAnsi"/>
          <w:sz w:val="18"/>
          <w:szCs w:val="18"/>
        </w:rPr>
        <w:t>Rabinstein</w:t>
      </w:r>
      <w:proofErr w:type="spellEnd"/>
      <w:r w:rsidRPr="00C253E3">
        <w:rPr>
          <w:rFonts w:asciiTheme="minorHAnsi" w:hAnsiTheme="minorHAnsi"/>
          <w:sz w:val="18"/>
          <w:szCs w:val="18"/>
        </w:rPr>
        <w:t xml:space="preserve"> AA, </w:t>
      </w:r>
      <w:proofErr w:type="spellStart"/>
      <w:r w:rsidRPr="00C253E3">
        <w:rPr>
          <w:rFonts w:asciiTheme="minorHAnsi" w:hAnsiTheme="minorHAnsi"/>
          <w:sz w:val="18"/>
          <w:szCs w:val="18"/>
        </w:rPr>
        <w:t>Cloft</w:t>
      </w:r>
      <w:proofErr w:type="spellEnd"/>
      <w:r w:rsidRPr="00C253E3">
        <w:rPr>
          <w:rFonts w:asciiTheme="minorHAnsi" w:hAnsiTheme="minorHAnsi"/>
          <w:sz w:val="18"/>
          <w:szCs w:val="18"/>
        </w:rPr>
        <w:t xml:space="preserve"> HJ, </w:t>
      </w:r>
      <w:proofErr w:type="spellStart"/>
      <w:r w:rsidRPr="00C253E3">
        <w:rPr>
          <w:rFonts w:asciiTheme="minorHAnsi" w:hAnsiTheme="minorHAnsi"/>
          <w:sz w:val="18"/>
          <w:szCs w:val="18"/>
        </w:rPr>
        <w:t>Lanzino</w:t>
      </w:r>
      <w:proofErr w:type="spellEnd"/>
      <w:r w:rsidRPr="00C253E3">
        <w:rPr>
          <w:rFonts w:asciiTheme="minorHAnsi" w:hAnsiTheme="minorHAnsi"/>
          <w:sz w:val="18"/>
          <w:szCs w:val="18"/>
        </w:rPr>
        <w:t xml:space="preserve"> G, </w:t>
      </w:r>
      <w:proofErr w:type="spellStart"/>
      <w:r w:rsidRPr="00C253E3">
        <w:rPr>
          <w:rFonts w:asciiTheme="minorHAnsi" w:hAnsiTheme="minorHAnsi"/>
          <w:sz w:val="18"/>
          <w:szCs w:val="18"/>
        </w:rPr>
        <w:t>Kallmes</w:t>
      </w:r>
      <w:proofErr w:type="spellEnd"/>
      <w:r w:rsidRPr="00C253E3">
        <w:rPr>
          <w:rFonts w:asciiTheme="minorHAnsi" w:hAnsiTheme="minorHAnsi"/>
          <w:sz w:val="18"/>
          <w:szCs w:val="18"/>
        </w:rPr>
        <w:t xml:space="preserve"> DF.  Conscious Sedation versus General Anesthesia during Endovascular Acute Ischemic Stroke Treatment: A Systematic Review and Meta-Analysis.</w:t>
      </w:r>
    </w:p>
    <w:p w14:paraId="07649115" w14:textId="77777777" w:rsidR="005973B9" w:rsidRDefault="005973B9" w:rsidP="005973B9">
      <w:pPr>
        <w:pStyle w:val="BodyText"/>
        <w:spacing w:line="218" w:lineRule="exact"/>
        <w:ind w:left="383"/>
        <w:rPr>
          <w:rFonts w:ascii="Calibri"/>
        </w:rPr>
      </w:pPr>
    </w:p>
    <w:p w14:paraId="381E861B" w14:textId="77777777" w:rsidR="00AE3E37" w:rsidRPr="008756E6" w:rsidRDefault="00AE3E37" w:rsidP="008756E6">
      <w:pPr>
        <w:tabs>
          <w:tab w:val="left" w:pos="384"/>
        </w:tabs>
        <w:ind w:right="117"/>
      </w:pPr>
    </w:p>
    <w:p w14:paraId="060B8B7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F2C714" w14:textId="77777777" w:rsidR="00AE3E37" w:rsidRDefault="009F7F1A">
      <w:pPr>
        <w:pStyle w:val="BodyText"/>
        <w:rPr>
          <w:rFonts w:ascii="Calibri"/>
          <w:sz w:val="20"/>
        </w:rPr>
      </w:pPr>
      <w:r>
        <w:rPr>
          <w:rFonts w:ascii="Calibri"/>
          <w:noProof/>
          <w:sz w:val="20"/>
        </w:rPr>
        <w:lastRenderedPageBreak/>
        <w:drawing>
          <wp:inline distT="0" distB="0" distL="0" distR="0" wp14:anchorId="2E6AF79E" wp14:editId="58AA4190">
            <wp:extent cx="3200400" cy="22108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0170" cy="2217552"/>
                    </a:xfrm>
                    <a:prstGeom prst="rect">
                      <a:avLst/>
                    </a:prstGeom>
                    <a:noFill/>
                  </pic:spPr>
                </pic:pic>
              </a:graphicData>
            </a:graphic>
          </wp:inline>
        </w:drawing>
      </w:r>
    </w:p>
    <w:p w14:paraId="13CBF221" w14:textId="77777777" w:rsidR="009F7F1A" w:rsidRDefault="009F7F1A">
      <w:pPr>
        <w:pStyle w:val="BodyText"/>
        <w:rPr>
          <w:rFonts w:ascii="Calibri"/>
          <w:sz w:val="20"/>
        </w:rPr>
      </w:pPr>
    </w:p>
    <w:p w14:paraId="1214A7B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6A21100" wp14:editId="6272DE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DCAE8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73F000" w14:textId="77777777" w:rsidR="00AE3E37" w:rsidRDefault="008756E6" w:rsidP="00404E5B">
      <w:pPr>
        <w:spacing w:before="92"/>
        <w:ind w:right="4234"/>
        <w:rPr>
          <w:rFonts w:ascii="Arial"/>
        </w:rPr>
      </w:pPr>
      <w:r>
        <w:rPr>
          <w:noProof/>
        </w:rPr>
        <w:t xml:space="preserve">              </w:t>
      </w:r>
      <w:bookmarkStart w:id="0" w:name="_GoBack"/>
      <w:r>
        <w:rPr>
          <w:noProof/>
        </w:rPr>
        <w:drawing>
          <wp:inline distT="0" distB="0" distL="0" distR="0" wp14:anchorId="6BD85CF7" wp14:editId="3EFAF32B">
            <wp:extent cx="468801" cy="625069"/>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bookmarkEnd w:id="0"/>
      <w:r w:rsidR="00A9710C">
        <w:rPr>
          <w:rFonts w:ascii="Arial"/>
          <w:color w:val="BF5A14"/>
        </w:rPr>
        <w:t>Biography</w:t>
      </w:r>
      <w:r w:rsidR="00404E5B">
        <w:rPr>
          <w:rFonts w:ascii="Arial"/>
          <w:color w:val="BF5A14"/>
        </w:rPr>
        <w:t xml:space="preserve"> (150 word limit)</w:t>
      </w:r>
    </w:p>
    <w:p w14:paraId="23CB10E2" w14:textId="3A7E23AE" w:rsidR="000B32BD" w:rsidRPr="000B32BD" w:rsidRDefault="000B32BD" w:rsidP="000B32BD">
      <w:pPr>
        <w:widowControl/>
        <w:rPr>
          <w:rFonts w:ascii="Times New Roman" w:eastAsia="Times New Roman" w:hAnsi="Times New Roman" w:cs="Times New Roman"/>
          <w:sz w:val="16"/>
          <w:szCs w:val="16"/>
        </w:rPr>
      </w:pPr>
      <w:r w:rsidRPr="000B32BD">
        <w:rPr>
          <w:rFonts w:ascii="Calibri" w:eastAsia="Times New Roman" w:hAnsi="Calibri" w:cs="Times New Roman"/>
          <w:sz w:val="16"/>
          <w:szCs w:val="16"/>
        </w:rPr>
        <w:t xml:space="preserve">Dr. Amie Hoefnagel is an Associate Professor at the University of Florida in Jacksonville Florida.  In addition to her love of teaching residents and other medical trainees the intricacies of neuroanesthesia, she has many administrative roles including serving as the associate chair for clinical operations and the director of quality improvement in the department of Anesthesiology.  </w:t>
      </w:r>
      <w:r w:rsidR="00B62CE6">
        <w:rPr>
          <w:rFonts w:ascii="Calibri" w:eastAsia="Times New Roman" w:hAnsi="Calibri" w:cs="Times New Roman"/>
          <w:sz w:val="16"/>
          <w:szCs w:val="16"/>
        </w:rPr>
        <w:t xml:space="preserve">She is an active member of the Society of Neuroscience in Anesthesia and Critical Care (SNACC) and encourages others to become members of this amazing group.  </w:t>
      </w:r>
    </w:p>
    <w:p w14:paraId="4053829F" w14:textId="77777777" w:rsidR="00AE3E37" w:rsidRDefault="00A9710C">
      <w:pPr>
        <w:spacing w:before="62"/>
        <w:ind w:left="4217" w:right="4235"/>
        <w:jc w:val="center"/>
        <w:rPr>
          <w:rFonts w:ascii="Arial"/>
          <w:sz w:val="14"/>
        </w:rPr>
      </w:pPr>
      <w:r>
        <w:rPr>
          <w:rFonts w:ascii="Arial"/>
          <w:sz w:val="14"/>
        </w:rPr>
        <w:t xml:space="preserve">Email: </w:t>
      </w:r>
      <w:r w:rsidR="000B32BD" w:rsidRPr="000B32BD">
        <w:rPr>
          <w:rFonts w:ascii="Arial"/>
          <w:sz w:val="14"/>
        </w:rPr>
        <w:t>ami</w:t>
      </w:r>
      <w:r w:rsidR="000B32BD">
        <w:rPr>
          <w:rFonts w:ascii="Arial"/>
          <w:sz w:val="14"/>
        </w:rPr>
        <w:t>e</w:t>
      </w:r>
      <w:r w:rsidR="000B32BD" w:rsidRPr="000B32BD">
        <w:rPr>
          <w:rFonts w:ascii="Arial"/>
          <w:sz w:val="14"/>
        </w:rPr>
        <w:t>.hoe</w:t>
      </w:r>
      <w:r w:rsidR="000B32BD">
        <w:rPr>
          <w:rFonts w:ascii="Arial"/>
          <w:sz w:val="14"/>
        </w:rPr>
        <w:t>fnagel@jax.ufl.edu</w:t>
      </w:r>
    </w:p>
    <w:p w14:paraId="5EC6E36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27DB977" wp14:editId="5C410E8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400CA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F0ED7DD" w14:textId="77777777" w:rsidR="00AE3E37" w:rsidRDefault="00AE3E37">
      <w:pPr>
        <w:pStyle w:val="BodyText"/>
        <w:rPr>
          <w:rFonts w:ascii="Arial"/>
          <w:sz w:val="20"/>
        </w:rPr>
      </w:pPr>
    </w:p>
    <w:p w14:paraId="477BECE9" w14:textId="77777777" w:rsidR="00AE3E37" w:rsidRDefault="00AE3E37">
      <w:pPr>
        <w:pStyle w:val="BodyText"/>
        <w:rPr>
          <w:rFonts w:ascii="Arial"/>
          <w:sz w:val="20"/>
        </w:rPr>
      </w:pPr>
    </w:p>
    <w:p w14:paraId="783C8640" w14:textId="77777777" w:rsidR="00AE3E37" w:rsidRDefault="00AE3E37">
      <w:pPr>
        <w:pStyle w:val="BodyText"/>
        <w:spacing w:before="7"/>
        <w:rPr>
          <w:rFonts w:ascii="Arial"/>
          <w:sz w:val="29"/>
        </w:rPr>
      </w:pPr>
    </w:p>
    <w:p w14:paraId="44F73CC3" w14:textId="77777777" w:rsidR="00AE3E37" w:rsidRPr="00B21A57" w:rsidRDefault="00A9710C">
      <w:pPr>
        <w:spacing w:before="39"/>
        <w:ind w:left="100"/>
        <w:rPr>
          <w:rFonts w:ascii="Minion Pro"/>
          <w:b/>
          <w:sz w:val="20"/>
        </w:rPr>
      </w:pPr>
      <w:r w:rsidRPr="00B21A57">
        <w:rPr>
          <w:rFonts w:ascii="Minion Pro"/>
          <w:b/>
          <w:sz w:val="20"/>
        </w:rPr>
        <w:t>Notes/Comments:</w:t>
      </w:r>
    </w:p>
    <w:p w14:paraId="5BE2D3E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7E79D8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D588F5" w14:textId="77777777" w:rsidR="00E00BD2" w:rsidRDefault="00E00BD2">
      <w:r>
        <w:separator/>
      </w:r>
    </w:p>
  </w:endnote>
  <w:endnote w:type="continuationSeparator" w:id="0">
    <w:p w14:paraId="6BD1AECA" w14:textId="77777777" w:rsidR="00E00BD2" w:rsidRDefault="00E00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C1EDC" w14:textId="77777777" w:rsidR="000B1A64" w:rsidRDefault="000B1A6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92A567F" wp14:editId="284517C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351EE" w14:textId="77777777" w:rsidR="000B1A64" w:rsidRPr="005B3A56" w:rsidRDefault="000B1A6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EAD0B4" w14:textId="77777777" w:rsidR="000B1A64" w:rsidRPr="005B3A56" w:rsidRDefault="000B1A6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38351EE" w14:textId="77777777" w:rsidR="000B1A64" w:rsidRPr="005B3A56" w:rsidRDefault="000B1A6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EAD0B4" w14:textId="77777777" w:rsidR="000B1A64" w:rsidRPr="005B3A56" w:rsidRDefault="000B1A6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DAF3996" wp14:editId="464124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EECF7" w14:textId="77777777" w:rsidR="000B1A64" w:rsidRPr="005B3A56" w:rsidRDefault="000B1A6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15B1D9" w14:textId="77777777" w:rsidR="000B1A64" w:rsidRPr="005B3A56" w:rsidRDefault="000B1A6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13EECF7" w14:textId="77777777" w:rsidR="000B1A64" w:rsidRPr="005B3A56" w:rsidRDefault="000B1A6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15B1D9" w14:textId="77777777" w:rsidR="000B1A64" w:rsidRPr="005B3A56" w:rsidRDefault="000B1A6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120562" wp14:editId="6A654C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6EF15" w14:textId="77777777" w:rsidR="000B1A64" w:rsidRPr="005B3A56" w:rsidRDefault="000B1A6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7ECD26" w14:textId="77777777" w:rsidR="000B1A64" w:rsidRPr="005B3A56" w:rsidRDefault="000B1A6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E36EF15" w14:textId="77777777" w:rsidR="000B1A64" w:rsidRPr="005B3A56" w:rsidRDefault="000B1A6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7ECD26" w14:textId="77777777" w:rsidR="000B1A64" w:rsidRPr="005B3A56" w:rsidRDefault="000B1A6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32008D" w14:textId="77777777" w:rsidR="00E00BD2" w:rsidRDefault="00E00BD2">
      <w:r>
        <w:separator/>
      </w:r>
    </w:p>
  </w:footnote>
  <w:footnote w:type="continuationSeparator" w:id="0">
    <w:p w14:paraId="567B7709" w14:textId="77777777" w:rsidR="00E00BD2" w:rsidRDefault="00E00BD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B6BB6A" w14:textId="77777777" w:rsidR="000B1A64" w:rsidRDefault="000B1A64">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93211DA" wp14:editId="60E381DB">
              <wp:simplePos x="0" y="0"/>
              <wp:positionH relativeFrom="page">
                <wp:posOffset>3261995</wp:posOffset>
              </wp:positionH>
              <wp:positionV relativeFrom="page">
                <wp:posOffset>283210</wp:posOffset>
              </wp:positionV>
              <wp:extent cx="3851275" cy="45085"/>
              <wp:effectExtent l="0" t="0" r="15875" b="1206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851275"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7AAA6" w14:textId="77777777" w:rsidR="000B1A64" w:rsidRPr="005B3A56" w:rsidRDefault="000B1A6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5:3(S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256.85pt;margin-top:22.3pt;width:303.25pt;height:3.55pt;flip:y;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" filled="f" stroked="f">
              <v:textbox inset="0,0,0,0">
                <w:txbxContent>
                  <w:p w14:paraId="4B37AAA6" w14:textId="77777777" w:rsidR="000B1A64" w:rsidRPr="005B3A56" w:rsidRDefault="000B1A6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5:3(S</w:t>
                    </w:r>
                  </w:p>
                </w:txbxContent>
              </v:textbox>
              <w10:wrap anchorx="page" anchory="page"/>
            </v:shape>
          </w:pict>
        </mc:Fallback>
      </mc:AlternateContent>
    </w:r>
  </w:p>
  <w:p w14:paraId="2D40B803" w14:textId="77777777" w:rsidR="000B1A64" w:rsidRDefault="000B1A64">
    <w:pPr>
      <w:pStyle w:val="BodyText"/>
      <w:spacing w:line="14" w:lineRule="auto"/>
      <w:rPr>
        <w:sz w:val="20"/>
      </w:rPr>
    </w:pPr>
  </w:p>
  <w:p w14:paraId="26E01126" w14:textId="77777777" w:rsidR="000B1A64" w:rsidRDefault="000B1A64">
    <w:pPr>
      <w:pStyle w:val="BodyText"/>
      <w:spacing w:line="14" w:lineRule="auto"/>
      <w:rPr>
        <w:sz w:val="20"/>
      </w:rPr>
    </w:pPr>
  </w:p>
  <w:p w14:paraId="7CFEB245" w14:textId="77777777" w:rsidR="000B1A64" w:rsidRDefault="000B1A64">
    <w:pPr>
      <w:pStyle w:val="BodyText"/>
      <w:spacing w:line="14" w:lineRule="auto"/>
      <w:rPr>
        <w:sz w:val="20"/>
      </w:rPr>
    </w:pPr>
  </w:p>
  <w:p w14:paraId="520A0E9B" w14:textId="77777777" w:rsidR="000B1A64" w:rsidRDefault="000B1A64">
    <w:pPr>
      <w:pStyle w:val="BodyText"/>
      <w:spacing w:line="14" w:lineRule="auto"/>
      <w:rPr>
        <w:sz w:val="20"/>
      </w:rPr>
    </w:pPr>
  </w:p>
  <w:p w14:paraId="66DF2ECB" w14:textId="77777777" w:rsidR="000B1A64" w:rsidRDefault="000B1A64">
    <w:pPr>
      <w:pStyle w:val="BodyText"/>
      <w:spacing w:line="14" w:lineRule="auto"/>
      <w:rPr>
        <w:sz w:val="20"/>
      </w:rPr>
    </w:pPr>
  </w:p>
  <w:p w14:paraId="1B12FD76" w14:textId="77777777" w:rsidR="000B1A64" w:rsidRDefault="000B1A64">
    <w:pPr>
      <w:pStyle w:val="BodyText"/>
      <w:spacing w:line="14" w:lineRule="auto"/>
      <w:rPr>
        <w:sz w:val="20"/>
      </w:rPr>
    </w:pPr>
  </w:p>
  <w:p w14:paraId="429257EE" w14:textId="77777777" w:rsidR="000B1A64" w:rsidRDefault="000B1A64">
    <w:pPr>
      <w:pStyle w:val="BodyText"/>
      <w:spacing w:line="14" w:lineRule="auto"/>
      <w:rPr>
        <w:sz w:val="20"/>
      </w:rPr>
    </w:pPr>
  </w:p>
  <w:p w14:paraId="03442AEB" w14:textId="77777777" w:rsidR="000B1A64" w:rsidRDefault="000B1A64">
    <w:pPr>
      <w:pStyle w:val="BodyText"/>
      <w:spacing w:line="14" w:lineRule="auto"/>
      <w:rPr>
        <w:sz w:val="20"/>
      </w:rPr>
    </w:pPr>
  </w:p>
  <w:p w14:paraId="692F2A99" w14:textId="77777777" w:rsidR="000B1A64" w:rsidRDefault="000B1A64">
    <w:pPr>
      <w:pStyle w:val="BodyText"/>
      <w:spacing w:line="14" w:lineRule="auto"/>
      <w:rPr>
        <w:sz w:val="20"/>
      </w:rPr>
    </w:pPr>
  </w:p>
  <w:p w14:paraId="51821663" w14:textId="77777777" w:rsidR="000B1A64" w:rsidRDefault="000B1A64">
    <w:pPr>
      <w:pStyle w:val="BodyText"/>
      <w:spacing w:line="14" w:lineRule="auto"/>
      <w:rPr>
        <w:sz w:val="20"/>
      </w:rPr>
    </w:pPr>
  </w:p>
  <w:p w14:paraId="06A1A68A" w14:textId="77777777" w:rsidR="000B1A64" w:rsidRDefault="000B1A64">
    <w:pPr>
      <w:pStyle w:val="BodyText"/>
      <w:spacing w:line="14" w:lineRule="auto"/>
      <w:rPr>
        <w:sz w:val="20"/>
      </w:rPr>
    </w:pPr>
  </w:p>
  <w:p w14:paraId="027EB60E" w14:textId="77777777" w:rsidR="000B1A64" w:rsidRDefault="000B1A64">
    <w:pPr>
      <w:pStyle w:val="BodyText"/>
      <w:spacing w:line="14" w:lineRule="auto"/>
      <w:rPr>
        <w:sz w:val="20"/>
      </w:rPr>
    </w:pPr>
  </w:p>
  <w:p w14:paraId="521AFA39" w14:textId="77777777" w:rsidR="000B1A64" w:rsidRDefault="000B1A64">
    <w:pPr>
      <w:pStyle w:val="BodyText"/>
      <w:spacing w:line="14" w:lineRule="auto"/>
      <w:rPr>
        <w:sz w:val="20"/>
      </w:rPr>
    </w:pPr>
  </w:p>
  <w:p w14:paraId="6FFE2CF4" w14:textId="77777777" w:rsidR="000B1A64" w:rsidRDefault="000B1A64">
    <w:pPr>
      <w:pStyle w:val="BodyText"/>
      <w:spacing w:line="14" w:lineRule="auto"/>
      <w:rPr>
        <w:sz w:val="20"/>
      </w:rPr>
    </w:pPr>
  </w:p>
  <w:p w14:paraId="050F9218" w14:textId="77777777" w:rsidR="000B1A64" w:rsidRDefault="000B1A64">
    <w:pPr>
      <w:pStyle w:val="BodyText"/>
      <w:spacing w:line="14" w:lineRule="auto"/>
      <w:rPr>
        <w:sz w:val="20"/>
      </w:rPr>
    </w:pPr>
  </w:p>
  <w:p w14:paraId="4164432A" w14:textId="77777777" w:rsidR="000B1A64" w:rsidRDefault="000B1A64">
    <w:pPr>
      <w:pStyle w:val="BodyText"/>
      <w:spacing w:line="14" w:lineRule="auto"/>
      <w:rPr>
        <w:sz w:val="20"/>
      </w:rPr>
    </w:pPr>
  </w:p>
  <w:p w14:paraId="3E716EAF" w14:textId="77777777" w:rsidR="000B1A64" w:rsidRDefault="000B1A64">
    <w:pPr>
      <w:pStyle w:val="BodyText"/>
      <w:spacing w:line="14" w:lineRule="auto"/>
      <w:rPr>
        <w:sz w:val="20"/>
      </w:rPr>
    </w:pPr>
  </w:p>
  <w:p w14:paraId="20B013E8" w14:textId="77777777" w:rsidR="000B1A64" w:rsidRDefault="000B1A64">
    <w:pPr>
      <w:pStyle w:val="BodyText"/>
      <w:spacing w:line="14" w:lineRule="auto"/>
      <w:rPr>
        <w:sz w:val="20"/>
      </w:rPr>
    </w:pPr>
  </w:p>
  <w:p w14:paraId="1DF86714" w14:textId="77777777" w:rsidR="000B1A64" w:rsidRDefault="000B1A64">
    <w:pPr>
      <w:pStyle w:val="BodyText"/>
      <w:spacing w:line="14" w:lineRule="auto"/>
      <w:rPr>
        <w:sz w:val="20"/>
      </w:rPr>
    </w:pPr>
  </w:p>
  <w:p w14:paraId="5D971BCB" w14:textId="77777777" w:rsidR="000B1A64" w:rsidRDefault="000B1A64">
    <w:pPr>
      <w:pStyle w:val="BodyText"/>
      <w:spacing w:line="14" w:lineRule="auto"/>
      <w:rPr>
        <w:sz w:val="20"/>
      </w:rPr>
    </w:pPr>
  </w:p>
  <w:p w14:paraId="09121710" w14:textId="77777777" w:rsidR="000B1A64" w:rsidRDefault="000B1A64">
    <w:pPr>
      <w:pStyle w:val="BodyText"/>
      <w:spacing w:line="14" w:lineRule="auto"/>
      <w:rPr>
        <w:sz w:val="20"/>
      </w:rPr>
    </w:pPr>
  </w:p>
  <w:p w14:paraId="160B6BE6" w14:textId="77777777" w:rsidR="000B1A64" w:rsidRDefault="000B1A64">
    <w:pPr>
      <w:pStyle w:val="BodyText"/>
      <w:spacing w:line="14" w:lineRule="auto"/>
      <w:rPr>
        <w:sz w:val="20"/>
      </w:rPr>
    </w:pPr>
  </w:p>
  <w:p w14:paraId="4F371B0A" w14:textId="77777777" w:rsidR="000B1A64" w:rsidRDefault="000B1A64">
    <w:pPr>
      <w:pStyle w:val="BodyText"/>
      <w:spacing w:line="14" w:lineRule="auto"/>
      <w:rPr>
        <w:sz w:val="20"/>
      </w:rPr>
    </w:pPr>
  </w:p>
  <w:p w14:paraId="10152939" w14:textId="77777777" w:rsidR="000B1A64" w:rsidRDefault="000B1A64">
    <w:pPr>
      <w:pStyle w:val="BodyText"/>
      <w:spacing w:line="14" w:lineRule="auto"/>
      <w:rPr>
        <w:sz w:val="20"/>
      </w:rPr>
    </w:pPr>
  </w:p>
  <w:p w14:paraId="16DB3A57" w14:textId="77777777" w:rsidR="000B1A64" w:rsidRDefault="000B1A64">
    <w:pPr>
      <w:pStyle w:val="BodyText"/>
      <w:spacing w:line="14" w:lineRule="auto"/>
      <w:rPr>
        <w:sz w:val="20"/>
      </w:rPr>
    </w:pPr>
  </w:p>
  <w:p w14:paraId="7359CBC8" w14:textId="77777777" w:rsidR="000B1A64" w:rsidRDefault="000B1A64">
    <w:pPr>
      <w:pStyle w:val="BodyText"/>
      <w:spacing w:line="14" w:lineRule="auto"/>
      <w:rPr>
        <w:sz w:val="20"/>
      </w:rPr>
    </w:pPr>
  </w:p>
  <w:p w14:paraId="56EBAFFD" w14:textId="77777777" w:rsidR="000B1A64" w:rsidRDefault="000B1A64">
    <w:pPr>
      <w:pStyle w:val="BodyText"/>
      <w:spacing w:line="14" w:lineRule="auto"/>
      <w:rPr>
        <w:sz w:val="20"/>
      </w:rPr>
    </w:pPr>
  </w:p>
  <w:p w14:paraId="2ACB7253" w14:textId="77777777" w:rsidR="000B1A64" w:rsidRDefault="000B1A64">
    <w:pPr>
      <w:pStyle w:val="BodyText"/>
      <w:spacing w:line="14" w:lineRule="auto"/>
      <w:rPr>
        <w:sz w:val="20"/>
      </w:rPr>
    </w:pPr>
  </w:p>
  <w:p w14:paraId="59EDA5D4" w14:textId="77777777" w:rsidR="000B1A64" w:rsidRDefault="000B1A64">
    <w:pPr>
      <w:pStyle w:val="BodyText"/>
      <w:spacing w:line="14" w:lineRule="auto"/>
      <w:rPr>
        <w:sz w:val="20"/>
      </w:rPr>
    </w:pPr>
  </w:p>
  <w:p w14:paraId="0CFFA164" w14:textId="77777777" w:rsidR="000B1A64" w:rsidRDefault="000B1A64">
    <w:pPr>
      <w:pStyle w:val="BodyText"/>
      <w:spacing w:line="14" w:lineRule="auto"/>
      <w:rPr>
        <w:sz w:val="20"/>
      </w:rPr>
    </w:pPr>
  </w:p>
  <w:p w14:paraId="45DF37F8" w14:textId="77777777" w:rsidR="000B1A64" w:rsidRDefault="000B1A64">
    <w:pPr>
      <w:pStyle w:val="BodyText"/>
      <w:spacing w:line="14" w:lineRule="auto"/>
      <w:rPr>
        <w:sz w:val="20"/>
      </w:rPr>
    </w:pPr>
  </w:p>
  <w:p w14:paraId="1F72F93E" w14:textId="77777777" w:rsidR="000B1A64" w:rsidRDefault="000B1A64">
    <w:pPr>
      <w:pStyle w:val="BodyText"/>
      <w:spacing w:line="14" w:lineRule="auto"/>
      <w:rPr>
        <w:sz w:val="20"/>
      </w:rPr>
    </w:pPr>
  </w:p>
  <w:p w14:paraId="18D07254" w14:textId="77777777" w:rsidR="000B1A64" w:rsidRDefault="000B1A64">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12F9881A" wp14:editId="09E7033F">
              <wp:simplePos x="0" y="0"/>
              <wp:positionH relativeFrom="page">
                <wp:posOffset>394970</wp:posOffset>
              </wp:positionH>
              <wp:positionV relativeFrom="page">
                <wp:posOffset>599440</wp:posOffset>
              </wp:positionV>
              <wp:extent cx="6955155" cy="773430"/>
              <wp:effectExtent l="0" t="0" r="1714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515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D524C" w14:textId="77777777" w:rsidR="000B1A64" w:rsidRPr="00EA7F87" w:rsidRDefault="000B1A64" w:rsidP="00EA7F87">
                          <w:pPr>
                            <w:spacing w:line="614" w:lineRule="exact"/>
                            <w:ind w:right="-10"/>
                            <w:rPr>
                              <w:rFonts w:ascii="Minion Pro"/>
                              <w:color w:val="FFFFFF" w:themeColor="background1"/>
                              <w:sz w:val="24"/>
                              <w:lang w:val="en-I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1.1pt;margin-top:47.2pt;width:547.65pt;height:60.9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" filled="f" stroked="f">
              <v:textbox inset="0,0,0,0">
                <w:txbxContent>
                  <w:p w14:paraId="0DCD524C" w14:textId="77777777" w:rsidR="000B1A64" w:rsidRPr="00EA7F87" w:rsidRDefault="000B1A64" w:rsidP="00EA7F87">
                    <w:pPr>
                      <w:spacing w:line="614" w:lineRule="exact"/>
                      <w:ind w:right="-10"/>
                      <w:rPr>
                        <w:rFonts w:ascii="Minion Pro"/>
                        <w:color w:val="FFFFFF" w:themeColor="background1"/>
                        <w:sz w:val="24"/>
                        <w:lang w:val="en-IN"/>
                      </w:rPr>
                    </w:pPr>
                  </w:p>
                </w:txbxContent>
              </v:textbox>
              <w10:wrap anchorx="page" anchory="page"/>
            </v:shape>
          </w:pict>
        </mc:Fallback>
      </mc:AlternateContent>
    </w:r>
    <w:r>
      <w:rPr>
        <w:rFonts w:ascii="Impact"/>
        <w:noProof/>
        <w:color w:val="FFFFFF" w:themeColor="background1"/>
        <w:sz w:val="52"/>
        <w:lang w:val="en-IN" w:eastAsia="en-IN"/>
      </w:rPr>
      <w:ptab w:relativeTo="margin" w:alignment="center" w:leader="middleDot"/>
    </w:r>
    <w:r>
      <w:rPr>
        <w:rFonts w:ascii="Impact"/>
        <w:noProof/>
        <w:color w:val="FFFFFF" w:themeColor="background1"/>
        <w:sz w:val="52"/>
      </w:rPr>
      <w:drawing>
        <wp:inline distT="0" distB="0" distL="0" distR="0" wp14:anchorId="7E744B65" wp14:editId="4E7D54C8">
          <wp:extent cx="6803136" cy="1082650"/>
          <wp:effectExtent l="0" t="0" r="0" b="3810"/>
          <wp:docPr id="6" name="Picture 6" descr="C:\Users\preventioncontrolmin\Desktop\surgery2020\Surgery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eventioncontrolmin\Desktop\surgery2020\Surgery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3136" cy="108265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74C64"/>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1A64"/>
    <w:rsid w:val="000B32BD"/>
    <w:rsid w:val="000E2911"/>
    <w:rsid w:val="001263DF"/>
    <w:rsid w:val="00134209"/>
    <w:rsid w:val="002455EC"/>
    <w:rsid w:val="00292ED9"/>
    <w:rsid w:val="00320570"/>
    <w:rsid w:val="00404E5B"/>
    <w:rsid w:val="00414F7B"/>
    <w:rsid w:val="00430CC0"/>
    <w:rsid w:val="004355DC"/>
    <w:rsid w:val="004749B4"/>
    <w:rsid w:val="00494130"/>
    <w:rsid w:val="004F3523"/>
    <w:rsid w:val="005973B9"/>
    <w:rsid w:val="005B3A56"/>
    <w:rsid w:val="006060CE"/>
    <w:rsid w:val="0063497F"/>
    <w:rsid w:val="00641EE5"/>
    <w:rsid w:val="00665F3C"/>
    <w:rsid w:val="007553A8"/>
    <w:rsid w:val="00862BF4"/>
    <w:rsid w:val="00873DF0"/>
    <w:rsid w:val="008756E6"/>
    <w:rsid w:val="008A08B6"/>
    <w:rsid w:val="009B2D44"/>
    <w:rsid w:val="009F7F1A"/>
    <w:rsid w:val="00A07E82"/>
    <w:rsid w:val="00A9710C"/>
    <w:rsid w:val="00AE3E37"/>
    <w:rsid w:val="00B21A57"/>
    <w:rsid w:val="00B62CE6"/>
    <w:rsid w:val="00BF1D1D"/>
    <w:rsid w:val="00C253E3"/>
    <w:rsid w:val="00C33602"/>
    <w:rsid w:val="00CB749E"/>
    <w:rsid w:val="00CD6F55"/>
    <w:rsid w:val="00D60836"/>
    <w:rsid w:val="00D9185F"/>
    <w:rsid w:val="00DE3104"/>
    <w:rsid w:val="00E00BD2"/>
    <w:rsid w:val="00E26B10"/>
    <w:rsid w:val="00EA7F8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F0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707379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2761821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jpg"/><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3860</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Amie Hoefnagel</cp:lastModifiedBy>
  <cp:revision>4</cp:revision>
  <dcterms:created xsi:type="dcterms:W3CDTF">2019-12-23T02:21:00Z</dcterms:created>
  <dcterms:modified xsi:type="dcterms:W3CDTF">2019-12-23T02:23:00Z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