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C42CE4" w14:textId="0503F489" w:rsidR="00AE3E37" w:rsidRDefault="00CB44F9" w:rsidP="00494130">
      <w:pPr>
        <w:pStyle w:val="Heading1"/>
        <w:spacing w:before="170"/>
        <w:ind w:left="0"/>
      </w:pPr>
      <w:r w:rsidRPr="00CB44F9">
        <w:rPr>
          <w:color w:val="337AB7"/>
        </w:rPr>
        <w:t xml:space="preserve">Minimally Invasive versus Open Multi-Level Spine Surgery: Lessons Learned From A Level 1 Trauma Center </w:t>
      </w:r>
    </w:p>
    <w:p w14:paraId="19728C12" w14:textId="05F2D434" w:rsidR="00CB44F9" w:rsidRDefault="00CB44F9" w:rsidP="00CB44F9">
      <w:pPr>
        <w:pStyle w:val="BodyText"/>
        <w:spacing w:before="73" w:line="198" w:lineRule="exact"/>
        <w:ind w:left="100" w:right="2770"/>
        <w:rPr>
          <w:rFonts w:ascii="Arial"/>
          <w:i/>
          <w:iCs/>
        </w:rPr>
      </w:pPr>
      <w:r w:rsidRPr="00CB44F9">
        <w:rPr>
          <w:rFonts w:ascii="Arial"/>
          <w:i/>
          <w:iCs/>
        </w:rPr>
        <w:t xml:space="preserve">Amie L Hoefnagel MD, </w:t>
      </w:r>
      <w:r>
        <w:rPr>
          <w:rFonts w:ascii="Arial"/>
        </w:rPr>
        <w:t>University of Florida College of Medicine, Jacksonville, Florida, USA</w:t>
      </w:r>
    </w:p>
    <w:p w14:paraId="315B0607" w14:textId="3CB067C9" w:rsidR="00AE3E37" w:rsidRPr="00625867" w:rsidRDefault="00CB44F9" w:rsidP="00625867">
      <w:pPr>
        <w:pStyle w:val="BodyText"/>
        <w:spacing w:before="73" w:line="198" w:lineRule="exact"/>
        <w:ind w:left="100" w:right="3490"/>
        <w:rPr>
          <w:rFonts w:ascii="Arial"/>
        </w:rPr>
      </w:pPr>
      <w:r w:rsidRPr="00CB44F9">
        <w:rPr>
          <w:rFonts w:ascii="Arial"/>
          <w:i/>
          <w:iCs/>
        </w:rPr>
        <w:t>Paul D Mongan MD</w:t>
      </w:r>
      <w:r w:rsidR="005973B9">
        <w:rPr>
          <w:rFonts w:ascii="Arial"/>
        </w:rPr>
        <w:t xml:space="preserve">, </w:t>
      </w:r>
      <w:r>
        <w:rPr>
          <w:rFonts w:ascii="Arial"/>
        </w:rPr>
        <w:t xml:space="preserve">University of Florida College of Medicine, Jacksonville, Florida, </w:t>
      </w:r>
      <w:r w:rsidR="005973B9">
        <w:rPr>
          <w:rFonts w:ascii="Arial"/>
        </w:rPr>
        <w:t>USA</w:t>
      </w:r>
    </w:p>
    <w:p w14:paraId="0C02F630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68AB5964" w14:textId="77777777" w:rsidR="00AE3E37" w:rsidRDefault="00AE3E37">
      <w:pPr>
        <w:rPr>
          <w:rFonts w:ascii="Arial"/>
          <w:sz w:val="21"/>
        </w:rPr>
        <w:sectPr w:rsidR="00AE3E37" w:rsidSect="00EA7F8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10" w:footer="850" w:gutter="0"/>
          <w:cols w:space="720"/>
          <w:docGrid w:linePitch="299"/>
        </w:sectPr>
      </w:pPr>
    </w:p>
    <w:p w14:paraId="109135E3" w14:textId="69939C40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7D801160" w14:textId="163B8B8B" w:rsidR="00A621ED" w:rsidRDefault="00A9710C" w:rsidP="00F53434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4A1B6D">
        <w:t>Historically, t</w:t>
      </w:r>
      <w:r w:rsidR="00F53434" w:rsidRPr="00F53434">
        <w:t>he</w:t>
      </w:r>
      <w:r w:rsidR="00F53434" w:rsidRPr="00F53434">
        <w:t xml:space="preserve"> treatment of degenerative spine and thoracolumbar fractures consisted of open posterior fixation</w:t>
      </w:r>
      <w:r w:rsidR="004A1B6D">
        <w:t xml:space="preserve"> </w:t>
      </w:r>
      <w:r w:rsidR="00F53434" w:rsidRPr="00F53434">
        <w:t xml:space="preserve">with or without anterior stabilization. </w:t>
      </w:r>
      <w:r w:rsidR="004A1B6D">
        <w:t xml:space="preserve"> However</w:t>
      </w:r>
      <w:r w:rsidR="00F53434" w:rsidRPr="00F53434">
        <w:t xml:space="preserve">, these procedures are </w:t>
      </w:r>
      <w:r w:rsidR="00F53434" w:rsidRPr="00F53434">
        <w:t>associated with</w:t>
      </w:r>
      <w:r w:rsidR="00F53434" w:rsidRPr="00F53434">
        <w:t xml:space="preserve"> morbidity, such as infection, blood loss, venous thromboembolism, and other cardi</w:t>
      </w:r>
      <w:r w:rsidR="00F53434" w:rsidRPr="00F53434">
        <w:t>o</w:t>
      </w:r>
      <w:r w:rsidR="00F53434" w:rsidRPr="00F53434">
        <w:t xml:space="preserve">pulmonary complications.  Since the advent of minimally invasive surgical (MIS) techniques, no clear consensus exists regarding the best way to treat these conditions. </w:t>
      </w:r>
      <w:r w:rsidR="004A1B6D">
        <w:t xml:space="preserve"> </w:t>
      </w:r>
      <w:r w:rsidR="00F53434" w:rsidRPr="00F53434">
        <w:t>D</w:t>
      </w:r>
      <w:r w:rsidR="00F53434" w:rsidRPr="00F53434">
        <w:t xml:space="preserve">ecision making </w:t>
      </w:r>
      <w:r w:rsidR="00F53434" w:rsidRPr="00F53434">
        <w:t>considers the</w:t>
      </w:r>
      <w:r w:rsidR="00F53434" w:rsidRPr="00F53434">
        <w:t xml:space="preserve"> extent of anterior column disease, fracture stability, neurological status, other traumatic injur</w:t>
      </w:r>
      <w:r w:rsidR="00F53434" w:rsidRPr="00F53434">
        <w:t>ies</w:t>
      </w:r>
      <w:r w:rsidR="00F53434" w:rsidRPr="00F53434">
        <w:t>, and the likelihood of nonoperative management</w:t>
      </w:r>
      <w:r w:rsidR="00F53434" w:rsidRPr="00F53434">
        <w:t xml:space="preserve"> success</w:t>
      </w:r>
      <w:r w:rsidR="00F53434" w:rsidRPr="00F53434">
        <w:t xml:space="preserve">. </w:t>
      </w:r>
      <w:r w:rsidR="00F53434" w:rsidRPr="00F53434">
        <w:t>M</w:t>
      </w:r>
      <w:r w:rsidR="00F53434" w:rsidRPr="00F53434">
        <w:t xml:space="preserve">ulti-level </w:t>
      </w:r>
      <w:r w:rsidR="00F53434" w:rsidRPr="00F53434">
        <w:t>MIS</w:t>
      </w:r>
      <w:r w:rsidR="00F53434" w:rsidRPr="00F53434">
        <w:t xml:space="preserve"> procedures </w:t>
      </w:r>
      <w:r w:rsidR="00F53434" w:rsidRPr="00F53434">
        <w:t>may have</w:t>
      </w:r>
      <w:r w:rsidR="00F53434" w:rsidRPr="00F53434">
        <w:t xml:space="preserve"> lower risks and promote a faster recovery time</w:t>
      </w:r>
      <w:r w:rsidR="00F53434" w:rsidRPr="00F53434">
        <w:t xml:space="preserve">.  </w:t>
      </w:r>
      <w:r w:rsidR="00F53434" w:rsidRPr="00F53434">
        <w:t xml:space="preserve">In this retrospective review we provide a single center experience comparing the open vs. MIS for 4-6 level posterior spinal </w:t>
      </w:r>
      <w:r w:rsidR="004A1B6D" w:rsidRPr="00625867">
        <w:t>thoracolumbar</w:t>
      </w:r>
      <w:r w:rsidR="004A1B6D" w:rsidRPr="00F53434">
        <w:t xml:space="preserve"> </w:t>
      </w:r>
      <w:r w:rsidR="00F53434" w:rsidRPr="00F53434">
        <w:t>fusions</w:t>
      </w:r>
      <w:r w:rsidR="004A1B6D">
        <w:t>.</w:t>
      </w:r>
    </w:p>
    <w:p w14:paraId="463CA32A" w14:textId="5F3A1103" w:rsidR="00A621ED" w:rsidRDefault="00A9710C" w:rsidP="00C22928">
      <w:pPr>
        <w:pStyle w:val="BodyText"/>
        <w:spacing w:before="90" w:line="280" w:lineRule="auto"/>
        <w:ind w:left="100"/>
        <w:jc w:val="both"/>
      </w:pPr>
      <w:r>
        <w:t xml:space="preserve">Findings: </w:t>
      </w:r>
      <w:r w:rsidR="00625867" w:rsidRPr="00625867">
        <w:t xml:space="preserve">A continuous series of </w:t>
      </w:r>
      <w:r w:rsidR="00625867">
        <w:t>125</w:t>
      </w:r>
      <w:r w:rsidR="00625867" w:rsidRPr="00625867">
        <w:t xml:space="preserve"> adult patients undergoing 4-6 level open or MIS posterior thoracolumbar</w:t>
      </w:r>
      <w:r w:rsidR="00625867" w:rsidRPr="00625867">
        <w:t xml:space="preserve"> </w:t>
      </w:r>
      <w:r w:rsidR="00625867" w:rsidRPr="00625867">
        <w:t>fusion</w:t>
      </w:r>
      <w:r w:rsidR="00C22928">
        <w:t>s</w:t>
      </w:r>
      <w:r w:rsidR="00625867" w:rsidRPr="00625867">
        <w:t xml:space="preserve"> for </w:t>
      </w:r>
      <w:r w:rsidR="00625867">
        <w:t xml:space="preserve">deformity or </w:t>
      </w:r>
      <w:r w:rsidR="00625867" w:rsidRPr="00625867">
        <w:t xml:space="preserve">traumatic fractures were evaluated over 24 months at the University of Florida Jacksonville – an urban level 1 trauma center.  </w:t>
      </w:r>
      <w:r w:rsidR="00625867">
        <w:t>Data were</w:t>
      </w:r>
      <w:r w:rsidR="00625867" w:rsidRPr="00625867">
        <w:t xml:space="preserve"> collected with IRB approval.  Differences between groups for continuous, normally distributed variables were analyzed with an unpaired two-tailed Student’s t-test </w:t>
      </w:r>
      <w:r w:rsidR="00C22928">
        <w:t>and c</w:t>
      </w:r>
      <w:r w:rsidR="00625867" w:rsidRPr="00625867">
        <w:t>ategorical</w:t>
      </w:r>
      <w:r w:rsidR="004A1B6D">
        <w:t xml:space="preserve"> variables/</w:t>
      </w:r>
      <w:r w:rsidR="00625867" w:rsidRPr="00625867">
        <w:t xml:space="preserve">proportions were analyzed with chi-square tests.  A p value &lt; 0.05 was considered significant. </w:t>
      </w:r>
      <w:r w:rsidR="00C22928">
        <w:t>P</w:t>
      </w:r>
      <w:r w:rsidR="00C22928" w:rsidRPr="00625867">
        <w:t>atient characteristics, medical comorbidity, and initial laboratory values</w:t>
      </w:r>
      <w:r w:rsidR="00C22928">
        <w:t xml:space="preserve"> were similar in both groups. </w:t>
      </w:r>
      <w:r w:rsidR="004A1B6D">
        <w:t xml:space="preserve"> </w:t>
      </w:r>
      <w:r w:rsidR="00625867" w:rsidRPr="00C22928">
        <w:t>In the patients with open procedures</w:t>
      </w:r>
      <w:r w:rsidR="00C22928" w:rsidRPr="00C22928">
        <w:t xml:space="preserve"> the </w:t>
      </w:r>
      <w:r w:rsidR="004A1B6D">
        <w:t>operative</w:t>
      </w:r>
      <w:r w:rsidR="00625867" w:rsidRPr="00C22928">
        <w:t xml:space="preserve"> time, volume administration, and estimated blood loss (EBL) were significantly </w:t>
      </w:r>
      <w:r w:rsidR="004A1B6D">
        <w:t>higher</w:t>
      </w:r>
      <w:r w:rsidR="00625867" w:rsidRPr="00C22928">
        <w:t>. Despite EBL differences, transfusion requirements were not significantly different the complication</w:t>
      </w:r>
      <w:r w:rsidR="004A1B6D">
        <w:t xml:space="preserve"> rate</w:t>
      </w:r>
      <w:r w:rsidR="00625867" w:rsidRPr="00C22928">
        <w:t xml:space="preserve">, intensive </w:t>
      </w:r>
      <w:r w:rsidR="003C0661" w:rsidRPr="00C22928">
        <w:t>care,</w:t>
      </w:r>
      <w:r w:rsidR="004A1B6D">
        <w:t xml:space="preserve"> </w:t>
      </w:r>
      <w:r w:rsidR="00625867" w:rsidRPr="00C22928">
        <w:t xml:space="preserve">and hospital length of stay </w:t>
      </w:r>
      <w:r w:rsidR="004A1B6D">
        <w:t xml:space="preserve">(LOS) </w:t>
      </w:r>
      <w:r w:rsidR="00625867" w:rsidRPr="00C22928">
        <w:t>was similar.</w:t>
      </w:r>
    </w:p>
    <w:p w14:paraId="5FF5F15F" w14:textId="3C72BF3C" w:rsidR="00A621ED" w:rsidRDefault="00A9710C" w:rsidP="004A1B6D">
      <w:pPr>
        <w:pStyle w:val="BodyText"/>
        <w:spacing w:before="90" w:line="280" w:lineRule="auto"/>
        <w:ind w:left="100"/>
        <w:jc w:val="both"/>
      </w:pPr>
      <w:r>
        <w:t>Conclusion &amp; Significance:</w:t>
      </w:r>
      <w:r w:rsidR="004A1B6D">
        <w:t xml:space="preserve">  </w:t>
      </w:r>
      <w:proofErr w:type="gramStart"/>
      <w:r w:rsidR="004A1B6D">
        <w:t>Short term outcomes and LOS were not significantly improved by MIS</w:t>
      </w:r>
      <w:proofErr w:type="gramEnd"/>
      <w:r w:rsidR="004A1B6D">
        <w:t xml:space="preserve"> in this cohort of patients.  Long term outcomes regarding fusion and function are being evaluated.  Currently, patient variables, surgeon experience and preference should be considered when employing MIS for 4-6 level fusions.</w:t>
      </w:r>
    </w:p>
    <w:p w14:paraId="56D21380" w14:textId="4109FA87" w:rsidR="00E660EA" w:rsidRDefault="00E660EA" w:rsidP="00DB351F">
      <w:pPr>
        <w:pStyle w:val="Heading3"/>
        <w:spacing w:before="74"/>
        <w:rPr>
          <w:b w:val="0"/>
        </w:rPr>
      </w:pPr>
      <w:r>
        <w:rPr>
          <w:color w:val="BF5A14"/>
        </w:rPr>
        <w:t>Recent Publications</w:t>
      </w:r>
    </w:p>
    <w:p w14:paraId="5442EA05" w14:textId="77777777" w:rsidR="00E660EA" w:rsidRPr="00E660EA" w:rsidRDefault="00E660EA" w:rsidP="00E660EA">
      <w:pPr>
        <w:pStyle w:val="EndNoteBibliography"/>
        <w:ind w:left="720" w:hanging="720"/>
        <w:rPr>
          <w:noProof/>
        </w:rPr>
      </w:pPr>
      <w:r w:rsidRPr="00E660EA">
        <w:rPr>
          <w:noProof/>
        </w:rPr>
        <w:t>1.</w:t>
      </w:r>
      <w:r w:rsidRPr="00E660EA">
        <w:rPr>
          <w:noProof/>
        </w:rPr>
        <w:tab/>
        <w:t>Patel AA, Zfass-Mendez M, Lebwohl NH, et al. Minimally Invasive Versus Open Lumbar Fusion: A Comparison of Blood Loss, Surgical Complications, and Hospital Course. Iowa Orthop J. 2015;35:130-134.</w:t>
      </w:r>
    </w:p>
    <w:p w14:paraId="4F06634E" w14:textId="029F197A" w:rsidR="00DB351F" w:rsidRPr="00DB351F" w:rsidRDefault="00A9710C" w:rsidP="00E660EA">
      <w:pPr>
        <w:pStyle w:val="EndNoteBibliography"/>
        <w:ind w:left="720" w:hanging="720"/>
        <w:rPr>
          <w:rFonts w:ascii="Arial" w:hAnsi="Arial" w:cs="Arial"/>
          <w:sz w:val="20"/>
          <w:szCs w:val="20"/>
        </w:rPr>
      </w:pPr>
      <w:r>
        <w:br w:type="column"/>
      </w:r>
      <w:r w:rsidR="00A621ED">
        <w:rPr>
          <w:color w:val="BF5A14"/>
        </w:rPr>
        <w:t>TABLE</w:t>
      </w:r>
    </w:p>
    <w:tbl>
      <w:tblPr>
        <w:tblStyle w:val="TableGrid"/>
        <w:tblW w:w="5580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1710"/>
        <w:gridCol w:w="1710"/>
      </w:tblGrid>
      <w:tr w:rsidR="001E2356" w:rsidRPr="00103BE8" w14:paraId="276B650D" w14:textId="77777777" w:rsidTr="001E2356">
        <w:tc>
          <w:tcPr>
            <w:tcW w:w="2160" w:type="dxa"/>
            <w:tcBorders>
              <w:top w:val="single" w:sz="12" w:space="0" w:color="auto"/>
              <w:bottom w:val="single" w:sz="12" w:space="0" w:color="auto"/>
            </w:tcBorders>
          </w:tcPr>
          <w:p w14:paraId="431C77F5" w14:textId="77777777" w:rsidR="001E2356" w:rsidRPr="00103BE8" w:rsidRDefault="001E2356" w:rsidP="000373B5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03BE8">
              <w:rPr>
                <w:rFonts w:asciiTheme="minorHAnsi" w:hAnsiTheme="minorHAnsi" w:cstheme="minorHAnsi"/>
                <w:b/>
                <w:sz w:val="18"/>
                <w:szCs w:val="18"/>
              </w:rPr>
              <w:t>SURGERY VARIABLES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12" w:space="0" w:color="auto"/>
            </w:tcBorders>
          </w:tcPr>
          <w:p w14:paraId="3632DCED" w14:textId="65A7A789" w:rsidR="001E2356" w:rsidRPr="00103BE8" w:rsidRDefault="001E2356" w:rsidP="000373B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3BE8">
              <w:rPr>
                <w:rFonts w:asciiTheme="minorHAnsi" w:hAnsiTheme="minorHAnsi" w:cstheme="minorHAnsi"/>
                <w:b/>
                <w:sz w:val="18"/>
                <w:szCs w:val="18"/>
              </w:rPr>
              <w:t>OPEN (N=</w:t>
            </w:r>
            <w:r w:rsidR="00E261AE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  <w:r w:rsidR="009C2AC2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103BE8"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12" w:space="0" w:color="auto"/>
            </w:tcBorders>
          </w:tcPr>
          <w:p w14:paraId="585251A7" w14:textId="29F57A10" w:rsidR="001E2356" w:rsidRPr="00103BE8" w:rsidRDefault="001E2356" w:rsidP="00D22825">
            <w:pPr>
              <w:ind w:right="25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03BE8">
              <w:rPr>
                <w:rFonts w:asciiTheme="minorHAnsi" w:hAnsiTheme="minorHAnsi" w:cstheme="minorHAnsi"/>
                <w:b/>
                <w:sz w:val="18"/>
                <w:szCs w:val="18"/>
              </w:rPr>
              <w:t>MIS (N=</w:t>
            </w:r>
            <w:r w:rsidR="00E261AE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  <w:r w:rsidR="009C2AC2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  <w:r w:rsidRPr="00103BE8"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</w:p>
        </w:tc>
      </w:tr>
      <w:tr w:rsidR="001E2356" w:rsidRPr="00103BE8" w14:paraId="18CFE12D" w14:textId="77777777" w:rsidTr="001E2356">
        <w:tc>
          <w:tcPr>
            <w:tcW w:w="2160" w:type="dxa"/>
          </w:tcPr>
          <w:p w14:paraId="5E10722C" w14:textId="460761E1" w:rsidR="001E2356" w:rsidRPr="00DB351F" w:rsidRDefault="001E2356" w:rsidP="001E2356">
            <w:pPr>
              <w:pStyle w:val="BodyText"/>
              <w:spacing w:line="281" w:lineRule="auto"/>
              <w:ind w:left="-111"/>
            </w:pPr>
            <w:r w:rsidRPr="00DB351F">
              <w:t xml:space="preserve">Levels, (n), Mean </w:t>
            </w:r>
            <w:r w:rsidRPr="00DB351F">
              <w:sym w:font="Symbol" w:char="F0B1"/>
            </w:r>
            <w:r w:rsidRPr="00DB351F">
              <w:t xml:space="preserve"> STD</w:t>
            </w:r>
          </w:p>
        </w:tc>
        <w:tc>
          <w:tcPr>
            <w:tcW w:w="1710" w:type="dxa"/>
          </w:tcPr>
          <w:p w14:paraId="37F8E2A5" w14:textId="35BE08E1" w:rsidR="001E2356" w:rsidRPr="001E2356" w:rsidRDefault="001E2356" w:rsidP="001E2356">
            <w:pPr>
              <w:pStyle w:val="BodyText"/>
              <w:spacing w:line="281" w:lineRule="auto"/>
              <w:ind w:left="101"/>
              <w:jc w:val="center"/>
            </w:pPr>
            <w:r w:rsidRPr="001E2356">
              <w:t>5.</w:t>
            </w:r>
            <w:r w:rsidR="00B303DE">
              <w:t>0</w:t>
            </w:r>
            <w:r w:rsidRPr="001E2356">
              <w:t xml:space="preserve"> </w:t>
            </w:r>
            <w:r w:rsidRPr="001E2356">
              <w:sym w:font="Symbol" w:char="F0B1"/>
            </w:r>
            <w:r w:rsidRPr="001E2356">
              <w:t xml:space="preserve"> 0.7</w:t>
            </w:r>
          </w:p>
        </w:tc>
        <w:tc>
          <w:tcPr>
            <w:tcW w:w="1710" w:type="dxa"/>
          </w:tcPr>
          <w:p w14:paraId="621B938E" w14:textId="5AAA2892" w:rsidR="001E2356" w:rsidRPr="001E2356" w:rsidRDefault="00DC756C" w:rsidP="001E2356">
            <w:pPr>
              <w:pStyle w:val="BodyText"/>
              <w:spacing w:line="281" w:lineRule="auto"/>
              <w:ind w:left="101"/>
              <w:jc w:val="center"/>
            </w:pPr>
            <w:r>
              <w:t>4.8</w:t>
            </w:r>
            <w:r w:rsidR="001E2356" w:rsidRPr="001E2356">
              <w:t xml:space="preserve"> </w:t>
            </w:r>
            <w:r w:rsidR="001E2356" w:rsidRPr="001E2356">
              <w:sym w:font="Symbol" w:char="F0B1"/>
            </w:r>
            <w:r w:rsidR="001E2356" w:rsidRPr="001E2356">
              <w:t xml:space="preserve"> 0.</w:t>
            </w:r>
            <w:r>
              <w:t>8</w:t>
            </w:r>
          </w:p>
        </w:tc>
      </w:tr>
      <w:tr w:rsidR="001E2356" w:rsidRPr="00103BE8" w14:paraId="2BAE259E" w14:textId="77777777" w:rsidTr="001E2356">
        <w:tc>
          <w:tcPr>
            <w:tcW w:w="2160" w:type="dxa"/>
          </w:tcPr>
          <w:p w14:paraId="79FE3989" w14:textId="77777777" w:rsidR="001E2356" w:rsidRPr="00DB351F" w:rsidRDefault="001E2356" w:rsidP="001E2356">
            <w:pPr>
              <w:pStyle w:val="BodyText"/>
              <w:spacing w:line="281" w:lineRule="auto"/>
              <w:ind w:left="-111"/>
            </w:pPr>
            <w:r w:rsidRPr="001E2356">
              <w:rPr>
                <w:color w:val="FF0000"/>
              </w:rPr>
              <w:t>*</w:t>
            </w:r>
            <w:r w:rsidRPr="00DB351F">
              <w:t>Procedure Time, (min)</w:t>
            </w:r>
          </w:p>
        </w:tc>
        <w:tc>
          <w:tcPr>
            <w:tcW w:w="1710" w:type="dxa"/>
          </w:tcPr>
          <w:p w14:paraId="28F233D5" w14:textId="4C7E4F76" w:rsidR="001E2356" w:rsidRPr="001E2356" w:rsidRDefault="001E2356" w:rsidP="001E2356">
            <w:pPr>
              <w:ind w:right="-107"/>
              <w:jc w:val="center"/>
              <w:rPr>
                <w:color w:val="FF0000"/>
                <w:sz w:val="18"/>
                <w:szCs w:val="18"/>
              </w:rPr>
            </w:pPr>
            <w:r w:rsidRPr="001E2356">
              <w:rPr>
                <w:color w:val="FF0000"/>
                <w:sz w:val="18"/>
                <w:szCs w:val="18"/>
              </w:rPr>
              <w:t>2</w:t>
            </w:r>
            <w:r w:rsidR="00B303DE">
              <w:rPr>
                <w:color w:val="FF0000"/>
                <w:sz w:val="18"/>
                <w:szCs w:val="18"/>
              </w:rPr>
              <w:t>51</w:t>
            </w:r>
            <w:r w:rsidRPr="001E2356">
              <w:rPr>
                <w:color w:val="FF0000"/>
                <w:sz w:val="18"/>
                <w:szCs w:val="18"/>
              </w:rPr>
              <w:t xml:space="preserve"> – (19</w:t>
            </w:r>
            <w:r w:rsidR="00B303DE">
              <w:rPr>
                <w:color w:val="FF0000"/>
                <w:sz w:val="18"/>
                <w:szCs w:val="18"/>
              </w:rPr>
              <w:t>0</w:t>
            </w:r>
            <w:r w:rsidRPr="001E2356">
              <w:rPr>
                <w:color w:val="FF0000"/>
                <w:sz w:val="18"/>
                <w:szCs w:val="18"/>
              </w:rPr>
              <w:t>,3</w:t>
            </w:r>
            <w:r w:rsidR="00B303DE">
              <w:rPr>
                <w:color w:val="FF0000"/>
                <w:sz w:val="18"/>
                <w:szCs w:val="18"/>
              </w:rPr>
              <w:t>61</w:t>
            </w:r>
            <w:r w:rsidRPr="001E2356"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1710" w:type="dxa"/>
          </w:tcPr>
          <w:p w14:paraId="6EBB3DFB" w14:textId="7D64591E" w:rsidR="001E2356" w:rsidRPr="001E2356" w:rsidRDefault="00DC756C" w:rsidP="001E2356">
            <w:pPr>
              <w:ind w:right="257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201</w:t>
            </w:r>
            <w:r w:rsidR="001E2356" w:rsidRPr="001E2356">
              <w:rPr>
                <w:color w:val="FF0000"/>
                <w:sz w:val="18"/>
                <w:szCs w:val="18"/>
              </w:rPr>
              <w:t xml:space="preserve"> – (16</w:t>
            </w:r>
            <w:r>
              <w:rPr>
                <w:color w:val="FF0000"/>
                <w:sz w:val="18"/>
                <w:szCs w:val="18"/>
              </w:rPr>
              <w:t>1</w:t>
            </w:r>
            <w:r w:rsidR="001E2356" w:rsidRPr="001E2356">
              <w:rPr>
                <w:color w:val="FF0000"/>
                <w:sz w:val="18"/>
                <w:szCs w:val="18"/>
              </w:rPr>
              <w:t>,2</w:t>
            </w:r>
            <w:r>
              <w:rPr>
                <w:color w:val="FF0000"/>
                <w:sz w:val="18"/>
                <w:szCs w:val="18"/>
              </w:rPr>
              <w:t>75</w:t>
            </w:r>
            <w:r w:rsidR="001E2356" w:rsidRPr="001E2356">
              <w:rPr>
                <w:color w:val="FF0000"/>
                <w:sz w:val="18"/>
                <w:szCs w:val="18"/>
              </w:rPr>
              <w:t>)</w:t>
            </w:r>
          </w:p>
        </w:tc>
      </w:tr>
      <w:tr w:rsidR="001E2356" w:rsidRPr="00103BE8" w14:paraId="1A305E9D" w14:textId="77777777" w:rsidTr="001E2356">
        <w:trPr>
          <w:trHeight w:val="249"/>
        </w:trPr>
        <w:tc>
          <w:tcPr>
            <w:tcW w:w="2160" w:type="dxa"/>
          </w:tcPr>
          <w:p w14:paraId="52E5F22B" w14:textId="77777777" w:rsidR="001E2356" w:rsidRPr="00DB351F" w:rsidRDefault="001E2356" w:rsidP="001E2356">
            <w:pPr>
              <w:pStyle w:val="BodyText"/>
              <w:spacing w:line="281" w:lineRule="auto"/>
              <w:ind w:left="-111"/>
            </w:pPr>
            <w:r w:rsidRPr="00DB351F">
              <w:rPr>
                <w:color w:val="FF0000"/>
              </w:rPr>
              <w:t>*</w:t>
            </w:r>
            <w:r w:rsidRPr="00DB351F">
              <w:t>Crystalloid, (ml)</w:t>
            </w:r>
          </w:p>
        </w:tc>
        <w:tc>
          <w:tcPr>
            <w:tcW w:w="1710" w:type="dxa"/>
          </w:tcPr>
          <w:p w14:paraId="5A88384E" w14:textId="6D0EC17E" w:rsidR="001E2356" w:rsidRPr="001E2356" w:rsidRDefault="001E2356" w:rsidP="001E2356">
            <w:pPr>
              <w:jc w:val="center"/>
              <w:rPr>
                <w:color w:val="FF0000"/>
                <w:sz w:val="18"/>
                <w:szCs w:val="18"/>
              </w:rPr>
            </w:pPr>
            <w:r w:rsidRPr="001E2356">
              <w:rPr>
                <w:color w:val="FF0000"/>
                <w:sz w:val="18"/>
                <w:szCs w:val="18"/>
              </w:rPr>
              <w:t>2</w:t>
            </w:r>
            <w:r w:rsidR="00B303DE">
              <w:rPr>
                <w:color w:val="FF0000"/>
                <w:sz w:val="18"/>
                <w:szCs w:val="18"/>
              </w:rPr>
              <w:t>150</w:t>
            </w:r>
            <w:r w:rsidRPr="001E2356">
              <w:rPr>
                <w:color w:val="FF0000"/>
                <w:sz w:val="18"/>
                <w:szCs w:val="18"/>
              </w:rPr>
              <w:t xml:space="preserve"> – (1600,2</w:t>
            </w:r>
            <w:r w:rsidR="00B303DE">
              <w:rPr>
                <w:color w:val="FF0000"/>
                <w:sz w:val="18"/>
                <w:szCs w:val="18"/>
              </w:rPr>
              <w:t>737</w:t>
            </w:r>
            <w:r w:rsidRPr="001E2356"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1710" w:type="dxa"/>
          </w:tcPr>
          <w:p w14:paraId="36E4FCA0" w14:textId="6BE8CA76" w:rsidR="001E2356" w:rsidRPr="001E2356" w:rsidRDefault="001E2356" w:rsidP="001E2356">
            <w:pPr>
              <w:ind w:right="257"/>
              <w:jc w:val="center"/>
              <w:rPr>
                <w:color w:val="FF0000"/>
                <w:sz w:val="18"/>
                <w:szCs w:val="18"/>
              </w:rPr>
            </w:pPr>
            <w:r w:rsidRPr="001E2356">
              <w:rPr>
                <w:color w:val="FF0000"/>
                <w:sz w:val="18"/>
                <w:szCs w:val="18"/>
              </w:rPr>
              <w:t>1</w:t>
            </w:r>
            <w:r w:rsidR="00DC756C">
              <w:rPr>
                <w:color w:val="FF0000"/>
                <w:sz w:val="18"/>
                <w:szCs w:val="18"/>
              </w:rPr>
              <w:t>750</w:t>
            </w:r>
            <w:r w:rsidRPr="001E2356">
              <w:rPr>
                <w:color w:val="FF0000"/>
                <w:sz w:val="18"/>
                <w:szCs w:val="18"/>
              </w:rPr>
              <w:t xml:space="preserve"> – (1</w:t>
            </w:r>
            <w:r w:rsidR="00DC756C">
              <w:rPr>
                <w:color w:val="FF0000"/>
                <w:sz w:val="18"/>
                <w:szCs w:val="18"/>
              </w:rPr>
              <w:t>425</w:t>
            </w:r>
            <w:r w:rsidRPr="001E2356">
              <w:rPr>
                <w:color w:val="FF0000"/>
                <w:sz w:val="18"/>
                <w:szCs w:val="18"/>
              </w:rPr>
              <w:t>,</w:t>
            </w:r>
            <w:r w:rsidR="00DC756C">
              <w:rPr>
                <w:color w:val="FF0000"/>
                <w:sz w:val="18"/>
                <w:szCs w:val="18"/>
              </w:rPr>
              <w:t>20</w:t>
            </w:r>
            <w:r w:rsidRPr="001E2356">
              <w:rPr>
                <w:color w:val="FF0000"/>
                <w:sz w:val="18"/>
                <w:szCs w:val="18"/>
              </w:rPr>
              <w:t>00)</w:t>
            </w:r>
          </w:p>
        </w:tc>
      </w:tr>
      <w:tr w:rsidR="001E2356" w:rsidRPr="00103BE8" w14:paraId="5C056BD9" w14:textId="77777777" w:rsidTr="001E2356">
        <w:tc>
          <w:tcPr>
            <w:tcW w:w="2160" w:type="dxa"/>
          </w:tcPr>
          <w:p w14:paraId="4CAA660E" w14:textId="02833AEC" w:rsidR="001E2356" w:rsidRPr="00DB351F" w:rsidRDefault="001E2356" w:rsidP="001E2356">
            <w:pPr>
              <w:pStyle w:val="BodyText"/>
              <w:spacing w:line="281" w:lineRule="auto"/>
              <w:ind w:left="-111"/>
            </w:pPr>
            <w:r w:rsidRPr="00DB351F">
              <w:rPr>
                <w:color w:val="FF0000"/>
              </w:rPr>
              <w:t>*</w:t>
            </w:r>
            <w:r w:rsidRPr="00DB351F">
              <w:t>Colloid,</w:t>
            </w:r>
            <w:r>
              <w:t xml:space="preserve"> (ml)</w:t>
            </w:r>
          </w:p>
          <w:p w14:paraId="401A09B1" w14:textId="77777777" w:rsidR="001E2356" w:rsidRPr="00DB351F" w:rsidRDefault="001E2356" w:rsidP="001E2356">
            <w:pPr>
              <w:pStyle w:val="BodyText"/>
              <w:spacing w:line="281" w:lineRule="auto"/>
              <w:ind w:left="-111"/>
            </w:pPr>
            <w:r w:rsidRPr="00DB351F">
              <w:t>(%)</w:t>
            </w:r>
          </w:p>
        </w:tc>
        <w:tc>
          <w:tcPr>
            <w:tcW w:w="1710" w:type="dxa"/>
          </w:tcPr>
          <w:p w14:paraId="41F2A6A3" w14:textId="421FBEDC" w:rsidR="001E2356" w:rsidRPr="001E2356" w:rsidRDefault="001E2356" w:rsidP="001E2356">
            <w:pPr>
              <w:jc w:val="center"/>
              <w:rPr>
                <w:color w:val="FF0000"/>
                <w:sz w:val="18"/>
                <w:szCs w:val="18"/>
              </w:rPr>
            </w:pPr>
            <w:r w:rsidRPr="001E2356">
              <w:rPr>
                <w:color w:val="FF0000"/>
                <w:sz w:val="18"/>
                <w:szCs w:val="18"/>
              </w:rPr>
              <w:t>500 – (250,500)</w:t>
            </w:r>
          </w:p>
          <w:p w14:paraId="14EFA52B" w14:textId="65390C21" w:rsidR="001E2356" w:rsidRPr="001E2356" w:rsidRDefault="00B303DE" w:rsidP="001E2356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39</w:t>
            </w:r>
            <w:r w:rsidR="001E2356" w:rsidRPr="001E2356">
              <w:rPr>
                <w:color w:val="FF0000"/>
                <w:sz w:val="18"/>
                <w:szCs w:val="18"/>
              </w:rPr>
              <w:t>%</w:t>
            </w:r>
          </w:p>
        </w:tc>
        <w:tc>
          <w:tcPr>
            <w:tcW w:w="1710" w:type="dxa"/>
          </w:tcPr>
          <w:p w14:paraId="48A00FF4" w14:textId="7B09096F" w:rsidR="001E2356" w:rsidRPr="001E2356" w:rsidRDefault="001E2356" w:rsidP="001E2356">
            <w:pPr>
              <w:ind w:right="257"/>
              <w:jc w:val="center"/>
              <w:rPr>
                <w:color w:val="FF0000"/>
                <w:sz w:val="18"/>
                <w:szCs w:val="18"/>
              </w:rPr>
            </w:pPr>
            <w:r w:rsidRPr="001E2356">
              <w:rPr>
                <w:color w:val="FF0000"/>
                <w:sz w:val="18"/>
                <w:szCs w:val="18"/>
              </w:rPr>
              <w:t>250 – (250,</w:t>
            </w:r>
            <w:r w:rsidR="00DC756C">
              <w:rPr>
                <w:color w:val="FF0000"/>
                <w:sz w:val="18"/>
                <w:szCs w:val="18"/>
              </w:rPr>
              <w:t>375</w:t>
            </w:r>
            <w:r w:rsidRPr="001E2356">
              <w:rPr>
                <w:color w:val="FF0000"/>
                <w:sz w:val="18"/>
                <w:szCs w:val="18"/>
              </w:rPr>
              <w:t>)</w:t>
            </w:r>
          </w:p>
          <w:p w14:paraId="3F90D95C" w14:textId="571E3E41" w:rsidR="001E2356" w:rsidRPr="001E2356" w:rsidRDefault="00DC756C" w:rsidP="001E2356">
            <w:pPr>
              <w:ind w:right="257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2</w:t>
            </w:r>
            <w:r w:rsidR="001E2356" w:rsidRPr="001E2356">
              <w:rPr>
                <w:color w:val="FF0000"/>
                <w:sz w:val="18"/>
                <w:szCs w:val="18"/>
              </w:rPr>
              <w:t>0%</w:t>
            </w:r>
          </w:p>
        </w:tc>
      </w:tr>
      <w:tr w:rsidR="001E2356" w:rsidRPr="00103BE8" w14:paraId="4BD377E6" w14:textId="77777777" w:rsidTr="001E2356">
        <w:tc>
          <w:tcPr>
            <w:tcW w:w="2160" w:type="dxa"/>
          </w:tcPr>
          <w:p w14:paraId="570757D2" w14:textId="279BB307" w:rsidR="001E2356" w:rsidRPr="00DB351F" w:rsidRDefault="001E2356" w:rsidP="001E2356">
            <w:pPr>
              <w:pStyle w:val="BodyText"/>
              <w:spacing w:line="281" w:lineRule="auto"/>
              <w:ind w:left="-111"/>
            </w:pPr>
            <w:r w:rsidRPr="00DB351F">
              <w:rPr>
                <w:color w:val="FF0000"/>
              </w:rPr>
              <w:t>*</w:t>
            </w:r>
            <w:r w:rsidRPr="00DB351F">
              <w:t xml:space="preserve">Operative EBL, </w:t>
            </w:r>
            <w:r>
              <w:t>(ml)</w:t>
            </w:r>
          </w:p>
        </w:tc>
        <w:tc>
          <w:tcPr>
            <w:tcW w:w="1710" w:type="dxa"/>
          </w:tcPr>
          <w:p w14:paraId="4FC0F405" w14:textId="33179DF4" w:rsidR="001E2356" w:rsidRPr="001E2356" w:rsidRDefault="001E2356" w:rsidP="001E2356">
            <w:pPr>
              <w:jc w:val="center"/>
              <w:rPr>
                <w:color w:val="FF0000"/>
                <w:sz w:val="18"/>
                <w:szCs w:val="18"/>
              </w:rPr>
            </w:pPr>
            <w:r w:rsidRPr="001E2356">
              <w:rPr>
                <w:color w:val="FF0000"/>
                <w:sz w:val="18"/>
                <w:szCs w:val="18"/>
              </w:rPr>
              <w:t>4</w:t>
            </w:r>
            <w:r w:rsidR="00B303DE">
              <w:rPr>
                <w:color w:val="FF0000"/>
                <w:sz w:val="18"/>
                <w:szCs w:val="18"/>
              </w:rPr>
              <w:t>00</w:t>
            </w:r>
            <w:r w:rsidRPr="001E2356">
              <w:rPr>
                <w:color w:val="FF0000"/>
                <w:sz w:val="18"/>
                <w:szCs w:val="18"/>
              </w:rPr>
              <w:t xml:space="preserve"> – (2</w:t>
            </w:r>
            <w:r w:rsidR="00B303DE">
              <w:rPr>
                <w:color w:val="FF0000"/>
                <w:sz w:val="18"/>
                <w:szCs w:val="18"/>
              </w:rPr>
              <w:t>00</w:t>
            </w:r>
            <w:r w:rsidRPr="001E2356">
              <w:rPr>
                <w:color w:val="FF0000"/>
                <w:sz w:val="18"/>
                <w:szCs w:val="18"/>
              </w:rPr>
              <w:t>,6</w:t>
            </w:r>
            <w:r w:rsidR="00B303DE">
              <w:rPr>
                <w:color w:val="FF0000"/>
                <w:sz w:val="18"/>
                <w:szCs w:val="18"/>
              </w:rPr>
              <w:t>00</w:t>
            </w:r>
            <w:r w:rsidRPr="001E2356"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1710" w:type="dxa"/>
          </w:tcPr>
          <w:p w14:paraId="385E50C3" w14:textId="30A8EB16" w:rsidR="001E2356" w:rsidRPr="001E2356" w:rsidRDefault="001E2356" w:rsidP="001E2356">
            <w:pPr>
              <w:ind w:right="257"/>
              <w:jc w:val="center"/>
              <w:rPr>
                <w:color w:val="FF0000"/>
                <w:sz w:val="18"/>
                <w:szCs w:val="18"/>
              </w:rPr>
            </w:pPr>
            <w:r w:rsidRPr="001E2356">
              <w:rPr>
                <w:color w:val="FF0000"/>
                <w:sz w:val="18"/>
                <w:szCs w:val="18"/>
              </w:rPr>
              <w:t>75 – (50,1</w:t>
            </w:r>
            <w:r w:rsidR="00DC756C">
              <w:rPr>
                <w:color w:val="FF0000"/>
                <w:sz w:val="18"/>
                <w:szCs w:val="18"/>
              </w:rPr>
              <w:t>62</w:t>
            </w:r>
            <w:r w:rsidRPr="001E2356">
              <w:rPr>
                <w:color w:val="FF0000"/>
                <w:sz w:val="18"/>
                <w:szCs w:val="18"/>
              </w:rPr>
              <w:t>)</w:t>
            </w:r>
          </w:p>
        </w:tc>
      </w:tr>
      <w:tr w:rsidR="001E2356" w:rsidRPr="00103BE8" w14:paraId="0F523387" w14:textId="77777777" w:rsidTr="001E2356">
        <w:tc>
          <w:tcPr>
            <w:tcW w:w="2160" w:type="dxa"/>
          </w:tcPr>
          <w:p w14:paraId="0AAB9397" w14:textId="3C1A0FD0" w:rsidR="001E2356" w:rsidRPr="00DB351F" w:rsidRDefault="001E2356" w:rsidP="001E2356">
            <w:pPr>
              <w:pStyle w:val="BodyText"/>
              <w:spacing w:line="281" w:lineRule="auto"/>
              <w:ind w:left="-111"/>
            </w:pPr>
            <w:r w:rsidRPr="00DB351F">
              <w:rPr>
                <w:color w:val="FF0000"/>
              </w:rPr>
              <w:t>*</w:t>
            </w:r>
            <w:r w:rsidRPr="00DB351F">
              <w:t xml:space="preserve">Total EBL, </w:t>
            </w:r>
            <w:r>
              <w:t>(ml)</w:t>
            </w:r>
          </w:p>
        </w:tc>
        <w:tc>
          <w:tcPr>
            <w:tcW w:w="1710" w:type="dxa"/>
          </w:tcPr>
          <w:p w14:paraId="7349C3F2" w14:textId="3C015F02" w:rsidR="001E2356" w:rsidRPr="001E2356" w:rsidRDefault="001E2356" w:rsidP="001E2356">
            <w:pPr>
              <w:jc w:val="center"/>
              <w:rPr>
                <w:color w:val="FF0000"/>
                <w:sz w:val="18"/>
                <w:szCs w:val="18"/>
              </w:rPr>
            </w:pPr>
            <w:r w:rsidRPr="001E2356">
              <w:rPr>
                <w:color w:val="FF0000"/>
                <w:sz w:val="18"/>
                <w:szCs w:val="18"/>
              </w:rPr>
              <w:t>1</w:t>
            </w:r>
            <w:r w:rsidR="00B303DE">
              <w:rPr>
                <w:color w:val="FF0000"/>
                <w:sz w:val="18"/>
                <w:szCs w:val="18"/>
              </w:rPr>
              <w:t>049</w:t>
            </w:r>
            <w:r w:rsidRPr="001E2356">
              <w:rPr>
                <w:color w:val="FF0000"/>
                <w:sz w:val="18"/>
                <w:szCs w:val="18"/>
              </w:rPr>
              <w:t xml:space="preserve"> – (</w:t>
            </w:r>
            <w:r w:rsidR="00B303DE">
              <w:rPr>
                <w:color w:val="FF0000"/>
                <w:sz w:val="18"/>
                <w:szCs w:val="18"/>
              </w:rPr>
              <w:t>541</w:t>
            </w:r>
            <w:r w:rsidRPr="001E2356">
              <w:rPr>
                <w:color w:val="FF0000"/>
                <w:sz w:val="18"/>
                <w:szCs w:val="18"/>
              </w:rPr>
              <w:t>,1</w:t>
            </w:r>
            <w:r w:rsidR="00B303DE">
              <w:rPr>
                <w:color w:val="FF0000"/>
                <w:sz w:val="18"/>
                <w:szCs w:val="18"/>
              </w:rPr>
              <w:t>551</w:t>
            </w:r>
            <w:r w:rsidRPr="001E2356">
              <w:rPr>
                <w:color w:val="FF0000"/>
                <w:sz w:val="18"/>
                <w:szCs w:val="18"/>
              </w:rPr>
              <w:t>)</w:t>
            </w:r>
          </w:p>
        </w:tc>
        <w:tc>
          <w:tcPr>
            <w:tcW w:w="1710" w:type="dxa"/>
          </w:tcPr>
          <w:p w14:paraId="6FEF0EAD" w14:textId="091A7581" w:rsidR="001E2356" w:rsidRPr="001E2356" w:rsidRDefault="001E2356" w:rsidP="001E2356">
            <w:pPr>
              <w:ind w:right="257"/>
              <w:jc w:val="center"/>
              <w:rPr>
                <w:color w:val="FF0000"/>
                <w:sz w:val="18"/>
                <w:szCs w:val="18"/>
              </w:rPr>
            </w:pPr>
            <w:r w:rsidRPr="001E2356">
              <w:rPr>
                <w:color w:val="FF0000"/>
                <w:sz w:val="18"/>
                <w:szCs w:val="18"/>
              </w:rPr>
              <w:t>100 – (50,2</w:t>
            </w:r>
            <w:r w:rsidR="00DC756C">
              <w:rPr>
                <w:color w:val="FF0000"/>
                <w:sz w:val="18"/>
                <w:szCs w:val="18"/>
              </w:rPr>
              <w:t>27</w:t>
            </w:r>
            <w:r w:rsidRPr="001E2356">
              <w:rPr>
                <w:color w:val="FF0000"/>
                <w:sz w:val="18"/>
                <w:szCs w:val="18"/>
              </w:rPr>
              <w:t>)</w:t>
            </w:r>
          </w:p>
        </w:tc>
      </w:tr>
      <w:tr w:rsidR="001E2356" w:rsidRPr="00103BE8" w14:paraId="463C8AB1" w14:textId="77777777" w:rsidTr="001E2356">
        <w:tc>
          <w:tcPr>
            <w:tcW w:w="2160" w:type="dxa"/>
            <w:tcBorders>
              <w:bottom w:val="nil"/>
            </w:tcBorders>
          </w:tcPr>
          <w:p w14:paraId="5F8F7B49" w14:textId="234EEB37" w:rsidR="001E2356" w:rsidRPr="00DB351F" w:rsidRDefault="001E2356" w:rsidP="001E2356">
            <w:pPr>
              <w:pStyle w:val="BodyText"/>
              <w:spacing w:line="281" w:lineRule="auto"/>
              <w:ind w:left="-111"/>
            </w:pPr>
            <w:r w:rsidRPr="00DB351F">
              <w:t>Total PRBC Units</w:t>
            </w:r>
          </w:p>
        </w:tc>
        <w:tc>
          <w:tcPr>
            <w:tcW w:w="1710" w:type="dxa"/>
            <w:tcBorders>
              <w:bottom w:val="nil"/>
            </w:tcBorders>
          </w:tcPr>
          <w:p w14:paraId="1E799708" w14:textId="7D7ECCAB" w:rsidR="001E2356" w:rsidRPr="001E2356" w:rsidRDefault="004072DB" w:rsidP="001E23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1E2356" w:rsidRPr="001E2356">
              <w:rPr>
                <w:sz w:val="18"/>
                <w:szCs w:val="18"/>
              </w:rPr>
              <w:t xml:space="preserve"> – (1,2) n=</w:t>
            </w:r>
            <w:r>
              <w:rPr>
                <w:sz w:val="18"/>
                <w:szCs w:val="18"/>
              </w:rPr>
              <w:t>11</w:t>
            </w:r>
          </w:p>
        </w:tc>
        <w:tc>
          <w:tcPr>
            <w:tcW w:w="1710" w:type="dxa"/>
            <w:tcBorders>
              <w:bottom w:val="nil"/>
            </w:tcBorders>
          </w:tcPr>
          <w:p w14:paraId="39A3DCE2" w14:textId="160396FE" w:rsidR="001E2356" w:rsidRPr="001E2356" w:rsidRDefault="001E2356" w:rsidP="001E2356">
            <w:pPr>
              <w:ind w:right="257"/>
              <w:jc w:val="center"/>
              <w:rPr>
                <w:sz w:val="18"/>
                <w:szCs w:val="18"/>
              </w:rPr>
            </w:pPr>
            <w:r w:rsidRPr="001E2356">
              <w:rPr>
                <w:sz w:val="18"/>
                <w:szCs w:val="18"/>
              </w:rPr>
              <w:t>2 – (2,</w:t>
            </w:r>
            <w:r w:rsidR="00DC756C">
              <w:rPr>
                <w:sz w:val="18"/>
                <w:szCs w:val="18"/>
              </w:rPr>
              <w:t>4.5</w:t>
            </w:r>
            <w:r w:rsidRPr="001E2356">
              <w:rPr>
                <w:sz w:val="18"/>
                <w:szCs w:val="18"/>
              </w:rPr>
              <w:t>) n=</w:t>
            </w:r>
            <w:r w:rsidR="00DC756C">
              <w:rPr>
                <w:sz w:val="18"/>
                <w:szCs w:val="18"/>
              </w:rPr>
              <w:t>14</w:t>
            </w:r>
          </w:p>
        </w:tc>
      </w:tr>
      <w:tr w:rsidR="001E2356" w:rsidRPr="00103BE8" w14:paraId="1B852F3A" w14:textId="77777777" w:rsidTr="001E2356">
        <w:tc>
          <w:tcPr>
            <w:tcW w:w="2160" w:type="dxa"/>
            <w:tcBorders>
              <w:bottom w:val="single" w:sz="12" w:space="0" w:color="auto"/>
            </w:tcBorders>
          </w:tcPr>
          <w:p w14:paraId="1BA18CEF" w14:textId="167FB1B1" w:rsidR="001E2356" w:rsidRPr="00DB351F" w:rsidRDefault="00D75FF0" w:rsidP="001E2356">
            <w:pPr>
              <w:pStyle w:val="BodyText"/>
              <w:spacing w:line="281" w:lineRule="auto"/>
              <w:ind w:left="-111"/>
            </w:pPr>
            <w:r>
              <w:t xml:space="preserve">Total </w:t>
            </w:r>
            <w:r w:rsidR="001E2356" w:rsidRPr="00DB351F">
              <w:t>FFP Units</w:t>
            </w:r>
          </w:p>
        </w:tc>
        <w:tc>
          <w:tcPr>
            <w:tcW w:w="1710" w:type="dxa"/>
            <w:tcBorders>
              <w:bottom w:val="single" w:sz="12" w:space="0" w:color="auto"/>
            </w:tcBorders>
          </w:tcPr>
          <w:p w14:paraId="1FA85E21" w14:textId="310647DE" w:rsidR="001E2356" w:rsidRPr="001E2356" w:rsidRDefault="00D75FF0" w:rsidP="001E23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1E2356" w:rsidRPr="001E2356">
              <w:rPr>
                <w:sz w:val="18"/>
                <w:szCs w:val="18"/>
              </w:rPr>
              <w:t>, n=2</w:t>
            </w:r>
          </w:p>
        </w:tc>
        <w:tc>
          <w:tcPr>
            <w:tcW w:w="1710" w:type="dxa"/>
            <w:tcBorders>
              <w:bottom w:val="single" w:sz="12" w:space="0" w:color="auto"/>
            </w:tcBorders>
          </w:tcPr>
          <w:p w14:paraId="192FDF66" w14:textId="4A36CD4F" w:rsidR="001E2356" w:rsidRPr="001E2356" w:rsidRDefault="00D75FF0" w:rsidP="001E2356">
            <w:pPr>
              <w:ind w:right="2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1E2356" w:rsidRPr="001E2356">
              <w:rPr>
                <w:sz w:val="18"/>
                <w:szCs w:val="18"/>
              </w:rPr>
              <w:t>, n=</w:t>
            </w:r>
            <w:r>
              <w:rPr>
                <w:sz w:val="18"/>
                <w:szCs w:val="18"/>
              </w:rPr>
              <w:t>2</w:t>
            </w:r>
          </w:p>
        </w:tc>
      </w:tr>
      <w:tr w:rsidR="001E2356" w:rsidRPr="00103BE8" w14:paraId="736F44B6" w14:textId="77777777" w:rsidTr="001E2356">
        <w:tc>
          <w:tcPr>
            <w:tcW w:w="2160" w:type="dxa"/>
            <w:tcBorders>
              <w:bottom w:val="single" w:sz="12" w:space="0" w:color="auto"/>
            </w:tcBorders>
          </w:tcPr>
          <w:p w14:paraId="5F7182DC" w14:textId="77777777" w:rsidR="001E2356" w:rsidRPr="00103BE8" w:rsidRDefault="001E2356" w:rsidP="001E2356">
            <w:pPr>
              <w:ind w:left="-11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LOS</w:t>
            </w:r>
            <w:r w:rsidRPr="00103BE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AND COMPLICATIONS</w:t>
            </w:r>
          </w:p>
        </w:tc>
        <w:tc>
          <w:tcPr>
            <w:tcW w:w="1710" w:type="dxa"/>
            <w:tcBorders>
              <w:bottom w:val="single" w:sz="12" w:space="0" w:color="auto"/>
            </w:tcBorders>
          </w:tcPr>
          <w:p w14:paraId="20B61401" w14:textId="77777777" w:rsidR="001E2356" w:rsidRPr="00103BE8" w:rsidRDefault="001E2356" w:rsidP="000373B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10" w:type="dxa"/>
            <w:tcBorders>
              <w:bottom w:val="single" w:sz="12" w:space="0" w:color="auto"/>
            </w:tcBorders>
          </w:tcPr>
          <w:p w14:paraId="042A3B4A" w14:textId="77777777" w:rsidR="001E2356" w:rsidRPr="00103BE8" w:rsidRDefault="001E2356" w:rsidP="00D22825">
            <w:pPr>
              <w:ind w:right="25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E2356" w:rsidRPr="00103BE8" w14:paraId="4976C006" w14:textId="77777777" w:rsidTr="001E2356">
        <w:tc>
          <w:tcPr>
            <w:tcW w:w="2160" w:type="dxa"/>
            <w:tcBorders>
              <w:top w:val="single" w:sz="12" w:space="0" w:color="auto"/>
            </w:tcBorders>
          </w:tcPr>
          <w:p w14:paraId="0EABE87D" w14:textId="0E961220" w:rsidR="001E2356" w:rsidRPr="00DB351F" w:rsidRDefault="001E2356" w:rsidP="001E2356">
            <w:pPr>
              <w:pStyle w:val="BodyText"/>
              <w:spacing w:line="281" w:lineRule="auto"/>
              <w:ind w:left="-111"/>
            </w:pPr>
            <w:r w:rsidRPr="00DB351F">
              <w:t xml:space="preserve">ICU </w:t>
            </w:r>
            <w:r>
              <w:t>LOS</w:t>
            </w:r>
            <w:r w:rsidRPr="00DB351F">
              <w:t xml:space="preserve"> (Days)</w:t>
            </w:r>
          </w:p>
        </w:tc>
        <w:tc>
          <w:tcPr>
            <w:tcW w:w="1710" w:type="dxa"/>
            <w:tcBorders>
              <w:top w:val="single" w:sz="12" w:space="0" w:color="auto"/>
            </w:tcBorders>
          </w:tcPr>
          <w:p w14:paraId="7402CC50" w14:textId="77777777" w:rsidR="001E2356" w:rsidRPr="009C2AC2" w:rsidRDefault="001E2356" w:rsidP="000373B5">
            <w:pPr>
              <w:jc w:val="center"/>
              <w:rPr>
                <w:sz w:val="18"/>
                <w:szCs w:val="18"/>
              </w:rPr>
            </w:pPr>
            <w:r w:rsidRPr="009C2AC2">
              <w:rPr>
                <w:sz w:val="18"/>
                <w:szCs w:val="18"/>
              </w:rPr>
              <w:t>2 – (1,4)</w:t>
            </w:r>
          </w:p>
        </w:tc>
        <w:tc>
          <w:tcPr>
            <w:tcW w:w="1710" w:type="dxa"/>
            <w:tcBorders>
              <w:top w:val="single" w:sz="12" w:space="0" w:color="auto"/>
            </w:tcBorders>
          </w:tcPr>
          <w:p w14:paraId="2A650F27" w14:textId="51AB8BFC" w:rsidR="001E2356" w:rsidRPr="009C2AC2" w:rsidRDefault="00DC756C" w:rsidP="00D22825">
            <w:pPr>
              <w:ind w:right="2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1E2356" w:rsidRPr="009C2AC2">
              <w:rPr>
                <w:sz w:val="18"/>
                <w:szCs w:val="18"/>
              </w:rPr>
              <w:t xml:space="preserve"> – (</w:t>
            </w:r>
            <w:r>
              <w:rPr>
                <w:sz w:val="18"/>
                <w:szCs w:val="18"/>
              </w:rPr>
              <w:t>1</w:t>
            </w:r>
            <w:r w:rsidR="001E2356" w:rsidRPr="009C2AC2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4</w:t>
            </w:r>
            <w:r w:rsidR="001E2356" w:rsidRPr="009C2AC2">
              <w:rPr>
                <w:sz w:val="18"/>
                <w:szCs w:val="18"/>
              </w:rPr>
              <w:t>)</w:t>
            </w:r>
          </w:p>
        </w:tc>
      </w:tr>
      <w:tr w:rsidR="001E2356" w:rsidRPr="00103BE8" w14:paraId="5A8DA381" w14:textId="77777777" w:rsidTr="001E2356">
        <w:tc>
          <w:tcPr>
            <w:tcW w:w="2160" w:type="dxa"/>
          </w:tcPr>
          <w:p w14:paraId="6BB18E8E" w14:textId="031CC881" w:rsidR="001E2356" w:rsidRPr="00DB351F" w:rsidRDefault="001E2356" w:rsidP="001E2356">
            <w:pPr>
              <w:pStyle w:val="BodyText"/>
              <w:spacing w:line="281" w:lineRule="auto"/>
              <w:ind w:left="-111"/>
            </w:pPr>
            <w:r w:rsidRPr="00DB351F">
              <w:t xml:space="preserve">Hospital </w:t>
            </w:r>
            <w:r>
              <w:t>LOS</w:t>
            </w:r>
            <w:r w:rsidRPr="00DB351F">
              <w:t xml:space="preserve"> (Days)</w:t>
            </w:r>
          </w:p>
        </w:tc>
        <w:tc>
          <w:tcPr>
            <w:tcW w:w="1710" w:type="dxa"/>
          </w:tcPr>
          <w:p w14:paraId="15B6CF68" w14:textId="77777777" w:rsidR="001E2356" w:rsidRPr="009C2AC2" w:rsidRDefault="001E2356" w:rsidP="000373B5">
            <w:pPr>
              <w:jc w:val="center"/>
              <w:rPr>
                <w:sz w:val="18"/>
                <w:szCs w:val="18"/>
              </w:rPr>
            </w:pPr>
            <w:r w:rsidRPr="009C2AC2">
              <w:rPr>
                <w:sz w:val="18"/>
                <w:szCs w:val="18"/>
              </w:rPr>
              <w:t>6 – (5,9)</w:t>
            </w:r>
          </w:p>
        </w:tc>
        <w:tc>
          <w:tcPr>
            <w:tcW w:w="1710" w:type="dxa"/>
          </w:tcPr>
          <w:p w14:paraId="213F78F6" w14:textId="7EBE21DB" w:rsidR="001E2356" w:rsidRPr="009C2AC2" w:rsidRDefault="001E2356" w:rsidP="00D22825">
            <w:pPr>
              <w:ind w:right="257"/>
              <w:jc w:val="center"/>
              <w:rPr>
                <w:sz w:val="18"/>
                <w:szCs w:val="18"/>
              </w:rPr>
            </w:pPr>
            <w:r w:rsidRPr="009C2AC2">
              <w:rPr>
                <w:sz w:val="18"/>
                <w:szCs w:val="18"/>
              </w:rPr>
              <w:t>6 – (3,9)</w:t>
            </w:r>
          </w:p>
        </w:tc>
      </w:tr>
      <w:tr w:rsidR="001E2356" w:rsidRPr="00103BE8" w14:paraId="77CC0433" w14:textId="77777777" w:rsidTr="001E2356">
        <w:tc>
          <w:tcPr>
            <w:tcW w:w="2160" w:type="dxa"/>
          </w:tcPr>
          <w:p w14:paraId="06C66FF9" w14:textId="77777777" w:rsidR="001E2356" w:rsidRPr="00DB351F" w:rsidRDefault="001E2356" w:rsidP="001E2356">
            <w:pPr>
              <w:pStyle w:val="BodyText"/>
              <w:spacing w:line="281" w:lineRule="auto"/>
              <w:ind w:left="-111"/>
            </w:pPr>
            <w:r w:rsidRPr="00DB351F">
              <w:t>Death (Hospital)</w:t>
            </w:r>
          </w:p>
        </w:tc>
        <w:tc>
          <w:tcPr>
            <w:tcW w:w="1710" w:type="dxa"/>
          </w:tcPr>
          <w:p w14:paraId="05C24A59" w14:textId="77777777" w:rsidR="001E2356" w:rsidRPr="009C2AC2" w:rsidRDefault="001E2356" w:rsidP="000373B5">
            <w:pPr>
              <w:jc w:val="center"/>
              <w:rPr>
                <w:sz w:val="18"/>
                <w:szCs w:val="18"/>
              </w:rPr>
            </w:pPr>
            <w:r w:rsidRPr="009C2AC2">
              <w:rPr>
                <w:sz w:val="18"/>
                <w:szCs w:val="18"/>
              </w:rPr>
              <w:t>0</w:t>
            </w:r>
          </w:p>
        </w:tc>
        <w:tc>
          <w:tcPr>
            <w:tcW w:w="1710" w:type="dxa"/>
          </w:tcPr>
          <w:p w14:paraId="09AAF63A" w14:textId="7E5A547E" w:rsidR="001E2356" w:rsidRPr="009C2AC2" w:rsidRDefault="00DC756C" w:rsidP="00D22825">
            <w:pPr>
              <w:ind w:right="2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1E2356" w:rsidRPr="00103BE8" w14:paraId="37099AFA" w14:textId="77777777" w:rsidTr="001E2356">
        <w:tc>
          <w:tcPr>
            <w:tcW w:w="2160" w:type="dxa"/>
          </w:tcPr>
          <w:p w14:paraId="68CA1AD3" w14:textId="7CB7DFA9" w:rsidR="001E2356" w:rsidRPr="00DB351F" w:rsidRDefault="001E2356" w:rsidP="001E2356">
            <w:pPr>
              <w:pStyle w:val="BodyText"/>
              <w:spacing w:line="281" w:lineRule="auto"/>
              <w:ind w:left="-111"/>
            </w:pPr>
            <w:r w:rsidRPr="00DB351F">
              <w:t xml:space="preserve">Death </w:t>
            </w:r>
            <w:r>
              <w:t>(</w:t>
            </w:r>
            <w:r w:rsidRPr="00DB351F">
              <w:t>30 day</w:t>
            </w:r>
            <w:r>
              <w:t>)</w:t>
            </w:r>
          </w:p>
        </w:tc>
        <w:tc>
          <w:tcPr>
            <w:tcW w:w="1710" w:type="dxa"/>
          </w:tcPr>
          <w:p w14:paraId="2C740C10" w14:textId="77777777" w:rsidR="001E2356" w:rsidRPr="009C2AC2" w:rsidRDefault="001E2356" w:rsidP="000373B5">
            <w:pPr>
              <w:jc w:val="center"/>
              <w:rPr>
                <w:sz w:val="18"/>
                <w:szCs w:val="18"/>
              </w:rPr>
            </w:pPr>
            <w:r w:rsidRPr="009C2AC2">
              <w:rPr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14:paraId="7AFF7B81" w14:textId="41AF2B4B" w:rsidR="001E2356" w:rsidRPr="009C2AC2" w:rsidRDefault="00DC756C" w:rsidP="00D22825">
            <w:pPr>
              <w:ind w:right="2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1E2356" w:rsidRPr="00103BE8" w14:paraId="6391F600" w14:textId="77777777" w:rsidTr="001E2356">
        <w:tc>
          <w:tcPr>
            <w:tcW w:w="2160" w:type="dxa"/>
          </w:tcPr>
          <w:p w14:paraId="068B36C0" w14:textId="77777777" w:rsidR="001E2356" w:rsidRPr="00DB351F" w:rsidRDefault="001E2356" w:rsidP="001E2356">
            <w:pPr>
              <w:pStyle w:val="BodyText"/>
              <w:spacing w:line="281" w:lineRule="auto"/>
              <w:ind w:left="-111"/>
            </w:pPr>
            <w:r w:rsidRPr="00DB351F">
              <w:t>Acute Kidney Injury (n)</w:t>
            </w:r>
          </w:p>
        </w:tc>
        <w:tc>
          <w:tcPr>
            <w:tcW w:w="1710" w:type="dxa"/>
          </w:tcPr>
          <w:p w14:paraId="25C013A2" w14:textId="7D085E37" w:rsidR="001E2356" w:rsidRPr="009C2AC2" w:rsidRDefault="004072DB" w:rsidP="000373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710" w:type="dxa"/>
          </w:tcPr>
          <w:p w14:paraId="54BDE3F3" w14:textId="3FE992EA" w:rsidR="001E2356" w:rsidRPr="009C2AC2" w:rsidRDefault="00DC756C" w:rsidP="00D22825">
            <w:pPr>
              <w:ind w:right="2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1E2356" w:rsidRPr="00103BE8" w14:paraId="23BE0D63" w14:textId="77777777" w:rsidTr="001E2356">
        <w:tc>
          <w:tcPr>
            <w:tcW w:w="2160" w:type="dxa"/>
          </w:tcPr>
          <w:p w14:paraId="71973956" w14:textId="77777777" w:rsidR="001E2356" w:rsidRPr="00DB351F" w:rsidRDefault="001E2356" w:rsidP="001E2356">
            <w:pPr>
              <w:pStyle w:val="BodyText"/>
              <w:spacing w:line="281" w:lineRule="auto"/>
              <w:ind w:left="-111"/>
            </w:pPr>
            <w:r w:rsidRPr="00DB351F">
              <w:t>Stroke (n)</w:t>
            </w:r>
          </w:p>
        </w:tc>
        <w:tc>
          <w:tcPr>
            <w:tcW w:w="1710" w:type="dxa"/>
          </w:tcPr>
          <w:p w14:paraId="517F8231" w14:textId="77777777" w:rsidR="001E2356" w:rsidRPr="009C2AC2" w:rsidRDefault="001E2356" w:rsidP="000373B5">
            <w:pPr>
              <w:jc w:val="center"/>
              <w:rPr>
                <w:sz w:val="18"/>
                <w:szCs w:val="18"/>
              </w:rPr>
            </w:pPr>
            <w:r w:rsidRPr="009C2AC2">
              <w:rPr>
                <w:sz w:val="18"/>
                <w:szCs w:val="18"/>
              </w:rPr>
              <w:t>0</w:t>
            </w:r>
          </w:p>
        </w:tc>
        <w:tc>
          <w:tcPr>
            <w:tcW w:w="1710" w:type="dxa"/>
          </w:tcPr>
          <w:p w14:paraId="23B265A6" w14:textId="77777777" w:rsidR="001E2356" w:rsidRPr="009C2AC2" w:rsidRDefault="001E2356" w:rsidP="00D22825">
            <w:pPr>
              <w:ind w:right="257"/>
              <w:jc w:val="center"/>
              <w:rPr>
                <w:sz w:val="18"/>
                <w:szCs w:val="18"/>
              </w:rPr>
            </w:pPr>
            <w:r w:rsidRPr="009C2AC2">
              <w:rPr>
                <w:sz w:val="18"/>
                <w:szCs w:val="18"/>
              </w:rPr>
              <w:t>0</w:t>
            </w:r>
          </w:p>
        </w:tc>
      </w:tr>
      <w:tr w:rsidR="001E2356" w:rsidRPr="00103BE8" w14:paraId="77E49402" w14:textId="77777777" w:rsidTr="001E2356">
        <w:tc>
          <w:tcPr>
            <w:tcW w:w="2160" w:type="dxa"/>
          </w:tcPr>
          <w:p w14:paraId="4D146595" w14:textId="77777777" w:rsidR="001E2356" w:rsidRPr="00DB351F" w:rsidRDefault="001E2356" w:rsidP="001E2356">
            <w:pPr>
              <w:pStyle w:val="BodyText"/>
              <w:spacing w:line="281" w:lineRule="auto"/>
              <w:ind w:left="-111" w:right="-112"/>
            </w:pPr>
            <w:r w:rsidRPr="00DB351F">
              <w:t>Venous Thromboembolism (n)</w:t>
            </w:r>
          </w:p>
        </w:tc>
        <w:tc>
          <w:tcPr>
            <w:tcW w:w="1710" w:type="dxa"/>
          </w:tcPr>
          <w:p w14:paraId="2289DE12" w14:textId="77777777" w:rsidR="001E2356" w:rsidRPr="009C2AC2" w:rsidRDefault="001E2356" w:rsidP="000373B5">
            <w:pPr>
              <w:jc w:val="center"/>
              <w:rPr>
                <w:sz w:val="18"/>
                <w:szCs w:val="18"/>
              </w:rPr>
            </w:pPr>
            <w:r w:rsidRPr="009C2AC2">
              <w:rPr>
                <w:sz w:val="18"/>
                <w:szCs w:val="18"/>
              </w:rPr>
              <w:t>0</w:t>
            </w:r>
          </w:p>
        </w:tc>
        <w:tc>
          <w:tcPr>
            <w:tcW w:w="1710" w:type="dxa"/>
          </w:tcPr>
          <w:p w14:paraId="1E192352" w14:textId="59595C6B" w:rsidR="001E2356" w:rsidRPr="009C2AC2" w:rsidRDefault="00DC756C" w:rsidP="00D22825">
            <w:pPr>
              <w:ind w:right="2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1E2356" w:rsidRPr="00103BE8" w14:paraId="660AC905" w14:textId="77777777" w:rsidTr="001E2356">
        <w:tc>
          <w:tcPr>
            <w:tcW w:w="2160" w:type="dxa"/>
          </w:tcPr>
          <w:p w14:paraId="170F06BE" w14:textId="77777777" w:rsidR="001E2356" w:rsidRPr="00DB351F" w:rsidRDefault="001E2356" w:rsidP="001E2356">
            <w:pPr>
              <w:pStyle w:val="BodyText"/>
              <w:spacing w:line="281" w:lineRule="auto"/>
              <w:ind w:left="-111"/>
            </w:pPr>
            <w:r w:rsidRPr="00DB351F">
              <w:t>Pneumonia (n)</w:t>
            </w:r>
          </w:p>
        </w:tc>
        <w:tc>
          <w:tcPr>
            <w:tcW w:w="1710" w:type="dxa"/>
          </w:tcPr>
          <w:p w14:paraId="36825DCC" w14:textId="77777777" w:rsidR="001E2356" w:rsidRPr="009C2AC2" w:rsidRDefault="001E2356" w:rsidP="000373B5">
            <w:pPr>
              <w:jc w:val="center"/>
              <w:rPr>
                <w:sz w:val="18"/>
                <w:szCs w:val="18"/>
              </w:rPr>
            </w:pPr>
            <w:r w:rsidRPr="009C2AC2">
              <w:rPr>
                <w:sz w:val="18"/>
                <w:szCs w:val="18"/>
              </w:rPr>
              <w:t>2</w:t>
            </w:r>
          </w:p>
        </w:tc>
        <w:tc>
          <w:tcPr>
            <w:tcW w:w="1710" w:type="dxa"/>
          </w:tcPr>
          <w:p w14:paraId="42552C7B" w14:textId="6D2A7306" w:rsidR="001E2356" w:rsidRPr="009C2AC2" w:rsidRDefault="00DC756C" w:rsidP="00D22825">
            <w:pPr>
              <w:ind w:right="2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</w:tr>
      <w:tr w:rsidR="001E2356" w:rsidRPr="00103BE8" w14:paraId="58D94508" w14:textId="77777777" w:rsidTr="001E2356">
        <w:tc>
          <w:tcPr>
            <w:tcW w:w="2160" w:type="dxa"/>
          </w:tcPr>
          <w:p w14:paraId="46CEB56F" w14:textId="2BF7BAA8" w:rsidR="001E2356" w:rsidRPr="00DB351F" w:rsidRDefault="001E2356" w:rsidP="001E2356">
            <w:pPr>
              <w:pStyle w:val="BodyText"/>
              <w:spacing w:line="281" w:lineRule="auto"/>
              <w:ind w:left="-111"/>
            </w:pPr>
            <w:r w:rsidRPr="00DB351F">
              <w:t>Wound Infections</w:t>
            </w:r>
            <w:r>
              <w:t xml:space="preserve"> </w:t>
            </w:r>
            <w:r w:rsidRPr="00DB351F">
              <w:t>(n)</w:t>
            </w:r>
          </w:p>
        </w:tc>
        <w:tc>
          <w:tcPr>
            <w:tcW w:w="1710" w:type="dxa"/>
          </w:tcPr>
          <w:p w14:paraId="03133D64" w14:textId="14674BDB" w:rsidR="001E2356" w:rsidRPr="009C2AC2" w:rsidRDefault="004072DB" w:rsidP="000373B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10" w:type="dxa"/>
          </w:tcPr>
          <w:p w14:paraId="1426E58B" w14:textId="77777777" w:rsidR="001E2356" w:rsidRPr="009C2AC2" w:rsidRDefault="001E2356" w:rsidP="00D22825">
            <w:pPr>
              <w:ind w:right="257"/>
              <w:jc w:val="center"/>
              <w:rPr>
                <w:sz w:val="18"/>
                <w:szCs w:val="18"/>
              </w:rPr>
            </w:pPr>
            <w:r w:rsidRPr="009C2AC2">
              <w:rPr>
                <w:sz w:val="18"/>
                <w:szCs w:val="18"/>
              </w:rPr>
              <w:t>4</w:t>
            </w:r>
          </w:p>
        </w:tc>
      </w:tr>
      <w:tr w:rsidR="001E2356" w:rsidRPr="00103BE8" w14:paraId="0E129983" w14:textId="77777777" w:rsidTr="001E2356">
        <w:tc>
          <w:tcPr>
            <w:tcW w:w="2160" w:type="dxa"/>
          </w:tcPr>
          <w:p w14:paraId="223A2265" w14:textId="7E86E0C4" w:rsidR="001E2356" w:rsidRPr="00DB351F" w:rsidRDefault="001E2356" w:rsidP="001E2356">
            <w:pPr>
              <w:pStyle w:val="BodyText"/>
              <w:spacing w:line="281" w:lineRule="auto"/>
              <w:ind w:left="-111"/>
            </w:pPr>
            <w:r>
              <w:t>MACE</w:t>
            </w:r>
            <w:r w:rsidRPr="00DB351F">
              <w:t xml:space="preserve"> (n)</w:t>
            </w:r>
          </w:p>
        </w:tc>
        <w:tc>
          <w:tcPr>
            <w:tcW w:w="1710" w:type="dxa"/>
          </w:tcPr>
          <w:p w14:paraId="2B46320B" w14:textId="77777777" w:rsidR="001E2356" w:rsidRPr="009C2AC2" w:rsidRDefault="001E2356" w:rsidP="000373B5">
            <w:pPr>
              <w:jc w:val="center"/>
              <w:rPr>
                <w:sz w:val="18"/>
                <w:szCs w:val="18"/>
              </w:rPr>
            </w:pPr>
            <w:r w:rsidRPr="009C2AC2">
              <w:rPr>
                <w:sz w:val="18"/>
                <w:szCs w:val="18"/>
              </w:rPr>
              <w:t>1</w:t>
            </w:r>
          </w:p>
        </w:tc>
        <w:tc>
          <w:tcPr>
            <w:tcW w:w="1710" w:type="dxa"/>
          </w:tcPr>
          <w:p w14:paraId="3EFA900F" w14:textId="7CD81998" w:rsidR="001E2356" w:rsidRPr="009C2AC2" w:rsidRDefault="00DC756C" w:rsidP="00D22825">
            <w:pPr>
              <w:ind w:right="2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1E2356" w:rsidRPr="009C2AC2">
              <w:rPr>
                <w:sz w:val="18"/>
                <w:szCs w:val="18"/>
              </w:rPr>
              <w:t xml:space="preserve"> </w:t>
            </w:r>
          </w:p>
        </w:tc>
      </w:tr>
    </w:tbl>
    <w:p w14:paraId="4DA79969" w14:textId="7682B06C" w:rsidR="00E660EA" w:rsidRPr="00E660EA" w:rsidRDefault="001E2356" w:rsidP="00E660EA">
      <w:pPr>
        <w:rPr>
          <w:rFonts w:asciiTheme="minorHAnsi" w:hAnsiTheme="minorHAnsi" w:cstheme="minorHAnsi"/>
          <w:sz w:val="18"/>
          <w:szCs w:val="18"/>
        </w:rPr>
      </w:pPr>
      <w:r w:rsidRPr="00DB351F">
        <w:rPr>
          <w:sz w:val="18"/>
          <w:szCs w:val="18"/>
        </w:rPr>
        <w:t xml:space="preserve">Mean </w:t>
      </w:r>
      <w:r w:rsidRPr="00DB351F">
        <w:rPr>
          <w:sz w:val="18"/>
          <w:szCs w:val="18"/>
        </w:rPr>
        <w:sym w:font="Symbol" w:char="F0B1"/>
      </w:r>
      <w:r w:rsidRPr="00DB351F">
        <w:rPr>
          <w:sz w:val="18"/>
          <w:szCs w:val="18"/>
        </w:rPr>
        <w:t xml:space="preserve"> STD</w:t>
      </w:r>
      <w:r w:rsidR="009C2AC2">
        <w:rPr>
          <w:rFonts w:asciiTheme="minorHAnsi" w:hAnsiTheme="minorHAnsi" w:cstheme="minorHAnsi"/>
          <w:sz w:val="18"/>
          <w:szCs w:val="18"/>
        </w:rPr>
        <w:t>;</w:t>
      </w:r>
      <w:r>
        <w:rPr>
          <w:rFonts w:asciiTheme="minorHAnsi" w:hAnsiTheme="minorHAnsi" w:cstheme="minorHAnsi"/>
          <w:sz w:val="18"/>
          <w:szCs w:val="18"/>
        </w:rPr>
        <w:t xml:space="preserve">  </w:t>
      </w:r>
      <w:r w:rsidR="00DB351F" w:rsidRPr="00103BE8">
        <w:rPr>
          <w:rFonts w:asciiTheme="minorHAnsi" w:hAnsiTheme="minorHAnsi" w:cstheme="minorHAnsi"/>
          <w:sz w:val="18"/>
          <w:szCs w:val="18"/>
        </w:rPr>
        <w:t>Median – (IQR) interquartile range</w:t>
      </w:r>
      <w:r w:rsidR="009C2AC2">
        <w:rPr>
          <w:rFonts w:asciiTheme="minorHAnsi" w:hAnsiTheme="minorHAnsi" w:cstheme="minorHAnsi"/>
          <w:sz w:val="18"/>
          <w:szCs w:val="18"/>
        </w:rPr>
        <w:t>;</w:t>
      </w:r>
      <w:r>
        <w:rPr>
          <w:rFonts w:asciiTheme="minorHAnsi" w:hAnsiTheme="minorHAnsi" w:cstheme="minorHAnsi"/>
          <w:sz w:val="18"/>
          <w:szCs w:val="18"/>
        </w:rPr>
        <w:t xml:space="preserve">  </w:t>
      </w:r>
      <w:r w:rsidR="00DB351F" w:rsidRPr="00103BE8">
        <w:rPr>
          <w:rFonts w:asciiTheme="minorHAnsi" w:hAnsiTheme="minorHAnsi" w:cstheme="minorHAnsi"/>
          <w:sz w:val="18"/>
          <w:szCs w:val="18"/>
        </w:rPr>
        <w:t>%, percentage</w:t>
      </w:r>
      <w:r w:rsidR="009C2AC2">
        <w:rPr>
          <w:rFonts w:asciiTheme="minorHAnsi" w:hAnsiTheme="minorHAnsi" w:cstheme="minorHAnsi"/>
          <w:sz w:val="18"/>
          <w:szCs w:val="18"/>
        </w:rPr>
        <w:t>;</w:t>
      </w:r>
      <w:r w:rsidR="00DB351F">
        <w:rPr>
          <w:rFonts w:asciiTheme="minorHAnsi" w:hAnsiTheme="minorHAnsi" w:cstheme="minorHAnsi"/>
          <w:sz w:val="18"/>
          <w:szCs w:val="18"/>
        </w:rPr>
        <w:t xml:space="preserve"> </w:t>
      </w:r>
      <w:r w:rsidR="009C2AC2">
        <w:rPr>
          <w:rFonts w:asciiTheme="minorHAnsi" w:hAnsiTheme="minorHAnsi" w:cstheme="minorHAnsi"/>
          <w:sz w:val="18"/>
          <w:szCs w:val="18"/>
        </w:rPr>
        <w:t xml:space="preserve"> MACE, major adverse cardiac event; </w:t>
      </w:r>
      <w:r w:rsidR="00DB351F" w:rsidRPr="00103BE8">
        <w:rPr>
          <w:rFonts w:asciiTheme="minorHAnsi" w:hAnsiTheme="minorHAnsi" w:cstheme="minorHAnsi"/>
          <w:color w:val="FF0000"/>
          <w:sz w:val="18"/>
          <w:szCs w:val="18"/>
        </w:rPr>
        <w:t>* p&lt;0.001</w:t>
      </w:r>
      <w:r w:rsidR="005973B9">
        <w:rPr>
          <w:rFonts w:ascii="Arial"/>
          <w:b/>
          <w:color w:val="BF5A14"/>
          <w:sz w:val="20"/>
        </w:rPr>
        <w:br/>
        <w:t xml:space="preserve">Recent Publications </w:t>
      </w:r>
      <w:r w:rsidR="00F53434" w:rsidRPr="00F53434">
        <w:fldChar w:fldCharType="begin"/>
      </w:r>
      <w:r w:rsidR="00F53434" w:rsidRPr="00F53434">
        <w:instrText xml:space="preserve"> ADDIN EN.REFLIST </w:instrText>
      </w:r>
      <w:r w:rsidR="00F53434" w:rsidRPr="00F53434">
        <w:fldChar w:fldCharType="separate"/>
      </w:r>
    </w:p>
    <w:p w14:paraId="0407BF1E" w14:textId="701D06FF" w:rsidR="00E660EA" w:rsidRPr="00E660EA" w:rsidRDefault="00E660EA" w:rsidP="00E660EA">
      <w:pPr>
        <w:pStyle w:val="EndNoteBibliography"/>
        <w:ind w:left="720" w:hanging="720"/>
        <w:rPr>
          <w:noProof/>
        </w:rPr>
      </w:pPr>
      <w:r w:rsidRPr="00E660EA">
        <w:rPr>
          <w:noProof/>
        </w:rPr>
        <w:t>2.</w:t>
      </w:r>
      <w:r w:rsidRPr="00E660EA">
        <w:rPr>
          <w:noProof/>
        </w:rPr>
        <w:tab/>
        <w:t>Chen YC, Zhang L, Li EN, et al. An updated meta-analysis of clinical outcomes comparing minimally invasive with open transforaminal lumbar interbody fusion in patients with degenerative lumbar diseases. Medicine (Baltimore). 2019;98(43):e1742</w:t>
      </w:r>
      <w:r>
        <w:rPr>
          <w:noProof/>
        </w:rPr>
        <w:t>0.</w:t>
      </w:r>
    </w:p>
    <w:p w14:paraId="0414D013" w14:textId="77777777" w:rsidR="00E660EA" w:rsidRPr="00E660EA" w:rsidRDefault="00E660EA" w:rsidP="00E660EA">
      <w:pPr>
        <w:pStyle w:val="EndNoteBibliography"/>
        <w:ind w:left="720" w:hanging="720"/>
        <w:rPr>
          <w:noProof/>
        </w:rPr>
      </w:pPr>
      <w:r w:rsidRPr="00E660EA">
        <w:rPr>
          <w:noProof/>
        </w:rPr>
        <w:t>3.</w:t>
      </w:r>
      <w:r w:rsidRPr="00E660EA">
        <w:rPr>
          <w:noProof/>
        </w:rPr>
        <w:tab/>
        <w:t xml:space="preserve">Fan Y, Zhang J, He X, Huang Y, Wu Q, Hao D. A Comparison of the Mini-Open Wiltse Approach with Pedicle Screw Fixation and the Percutaneous Pedicle Screw Fixation for Neurologically Intact Thoracolumbar Fractures. </w:t>
      </w:r>
      <w:r w:rsidRPr="00E660EA">
        <w:rPr>
          <w:i/>
          <w:noProof/>
        </w:rPr>
        <w:t xml:space="preserve">Med Sci Monit. </w:t>
      </w:r>
      <w:r w:rsidRPr="00E660EA">
        <w:rPr>
          <w:noProof/>
        </w:rPr>
        <w:t>2017;23:5515-5521.</w:t>
      </w:r>
    </w:p>
    <w:p w14:paraId="62CA6B1E" w14:textId="77777777" w:rsidR="00E660EA" w:rsidRPr="00E660EA" w:rsidRDefault="00E660EA" w:rsidP="00E660EA">
      <w:pPr>
        <w:pStyle w:val="EndNoteBibliography"/>
        <w:ind w:left="720" w:hanging="720"/>
        <w:rPr>
          <w:noProof/>
        </w:rPr>
      </w:pPr>
      <w:r w:rsidRPr="00E660EA">
        <w:rPr>
          <w:noProof/>
        </w:rPr>
        <w:t>4.</w:t>
      </w:r>
      <w:r w:rsidRPr="00E660EA">
        <w:rPr>
          <w:noProof/>
        </w:rPr>
        <w:tab/>
        <w:t xml:space="preserve">Koreckij T, Park DK, Fischgrund J. Minimally invasive spine surgery in the treatment of thoracolumbar and lumbar spine trauma. </w:t>
      </w:r>
      <w:r w:rsidRPr="00E660EA">
        <w:rPr>
          <w:i/>
          <w:noProof/>
        </w:rPr>
        <w:t xml:space="preserve">Neurosurg Focus. </w:t>
      </w:r>
      <w:r w:rsidRPr="00E660EA">
        <w:rPr>
          <w:noProof/>
        </w:rPr>
        <w:t>2014;37(1):E11.</w:t>
      </w:r>
    </w:p>
    <w:p w14:paraId="73D35B94" w14:textId="77777777" w:rsidR="00E660EA" w:rsidRPr="00E660EA" w:rsidRDefault="00E660EA" w:rsidP="00E660EA">
      <w:pPr>
        <w:pStyle w:val="EndNoteBibliography"/>
        <w:ind w:left="720" w:hanging="720"/>
        <w:rPr>
          <w:noProof/>
        </w:rPr>
      </w:pPr>
      <w:r w:rsidRPr="00E660EA">
        <w:rPr>
          <w:noProof/>
        </w:rPr>
        <w:t>5.</w:t>
      </w:r>
      <w:r w:rsidRPr="00E660EA">
        <w:rPr>
          <w:noProof/>
        </w:rPr>
        <w:tab/>
        <w:t xml:space="preserve">Wang MY, Bordon G. Mini-open pedicle subtraction osteotomy as a treatment for severe adult spinal deformities: case series with initial clinical and radiographic outcomes. </w:t>
      </w:r>
      <w:r w:rsidRPr="00E660EA">
        <w:rPr>
          <w:i/>
          <w:noProof/>
        </w:rPr>
        <w:t xml:space="preserve">J Neurosurg Spine. </w:t>
      </w:r>
      <w:r w:rsidRPr="00E660EA">
        <w:rPr>
          <w:noProof/>
        </w:rPr>
        <w:t>2016;24(5):769-776.</w:t>
      </w:r>
    </w:p>
    <w:p w14:paraId="6DC5162C" w14:textId="49839A0E" w:rsidR="00AE3E37" w:rsidRPr="00E660EA" w:rsidRDefault="00F53434" w:rsidP="00E660EA">
      <w:pPr>
        <w:pStyle w:val="BodyText"/>
        <w:spacing w:before="90" w:line="280" w:lineRule="auto"/>
        <w:jc w:val="both"/>
        <w:sectPr w:rsidR="00AE3E37" w:rsidRPr="00E660E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F53434">
        <w:fldChar w:fldCharType="end"/>
      </w:r>
    </w:p>
    <w:p w14:paraId="3CF097FC" w14:textId="77777777" w:rsidR="00AE3E37" w:rsidRDefault="00AE3E37">
      <w:pPr>
        <w:pStyle w:val="BodyText"/>
        <w:rPr>
          <w:rFonts w:ascii="Calibri"/>
          <w:sz w:val="20"/>
        </w:rPr>
      </w:pPr>
    </w:p>
    <w:p w14:paraId="75037E14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4254CC43" wp14:editId="4A2CF94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C63658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2208B5CF" w14:textId="0EA15398" w:rsidR="00AE3E37" w:rsidRDefault="00A9710C" w:rsidP="00D75FF0">
      <w:pPr>
        <w:spacing w:before="92"/>
        <w:ind w:right="-20"/>
        <w:rPr>
          <w:rFonts w:ascii="Arial"/>
        </w:rPr>
      </w:pPr>
      <w:r>
        <w:rPr>
          <w:rFonts w:ascii="Arial"/>
          <w:color w:val="BF5A14"/>
        </w:rPr>
        <w:t>Biography</w:t>
      </w:r>
      <w:r w:rsidR="00E660EA">
        <w:rPr>
          <w:rFonts w:ascii="Arial"/>
          <w:color w:val="BF5A14"/>
        </w:rPr>
        <w:t xml:space="preserve">:  </w:t>
      </w:r>
      <w:proofErr w:type="spellStart"/>
      <w:r w:rsidR="00F71C4C">
        <w:rPr>
          <w:sz w:val="18"/>
          <w:szCs w:val="18"/>
        </w:rPr>
        <w:t>Dr</w:t>
      </w:r>
      <w:proofErr w:type="spellEnd"/>
      <w:r w:rsidR="00F71C4C">
        <w:rPr>
          <w:sz w:val="18"/>
          <w:szCs w:val="18"/>
        </w:rPr>
        <w:t xml:space="preserve"> Mongan is P</w:t>
      </w:r>
      <w:r w:rsidR="00D75FF0">
        <w:rPr>
          <w:sz w:val="18"/>
          <w:szCs w:val="18"/>
        </w:rPr>
        <w:t xml:space="preserve">rofessor, Department of Anesthesiology University of Florida, Jacksonville Florida.  </w:t>
      </w:r>
      <w:r w:rsidR="00F71C4C">
        <w:rPr>
          <w:sz w:val="18"/>
          <w:szCs w:val="18"/>
        </w:rPr>
        <w:t xml:space="preserve">He has </w:t>
      </w:r>
      <w:bookmarkStart w:id="0" w:name="_GoBack"/>
      <w:bookmarkEnd w:id="0"/>
      <w:r w:rsidR="00D75FF0">
        <w:rPr>
          <w:sz w:val="18"/>
          <w:szCs w:val="18"/>
        </w:rPr>
        <w:t>30 years of anesthetic practice in trauma and neuroanesthesiology.  Author of over 100 manuscripts and abstracts and Co-Editor of A Practical Approach to Neuroanesthesia (Wolters Kluwer 2013)</w:t>
      </w:r>
    </w:p>
    <w:p w14:paraId="2D927CB0" w14:textId="68172533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A621ED" w:rsidRPr="00A621ED">
        <w:rPr>
          <w:rFonts w:ascii="Arial"/>
          <w:sz w:val="14"/>
        </w:rPr>
        <w:t>paul.mongan@jax.ufl.edu</w:t>
      </w:r>
    </w:p>
    <w:p w14:paraId="393999F4" w14:textId="0D1FBE68" w:rsidR="00AE3E37" w:rsidRDefault="00292ED9" w:rsidP="00DB351F">
      <w:pPr>
        <w:pStyle w:val="BodyText"/>
        <w:spacing w:before="2"/>
        <w:rPr>
          <w:rFonts w:ascii="Arial"/>
          <w:sz w:val="2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FAF59D9" wp14:editId="5516904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E387C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" strokecolor="#004080" strokeweight=".5pt">
                <w10:wrap type="topAndBottom" anchorx="page"/>
              </v:line>
            </w:pict>
          </mc:Fallback>
        </mc:AlternateContent>
      </w:r>
    </w:p>
    <w:p w14:paraId="1D31B2D0" w14:textId="504A3297" w:rsidR="00AE3E37" w:rsidRPr="00DB351F" w:rsidRDefault="00A9710C" w:rsidP="00DB351F">
      <w:pPr>
        <w:spacing w:before="39"/>
        <w:ind w:left="100"/>
        <w:rPr>
          <w:rFonts w:ascii="Minion Pro"/>
          <w:b/>
          <w:sz w:val="20"/>
        </w:rPr>
        <w:sectPr w:rsidR="00AE3E37" w:rsidRPr="00DB351F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</w:t>
      </w:r>
      <w:r w:rsidR="00E660EA">
        <w:rPr>
          <w:rFonts w:ascii="Minion Pro"/>
          <w:b/>
          <w:sz w:val="20"/>
        </w:rPr>
        <w:t>nts</w:t>
      </w:r>
    </w:p>
    <w:p w14:paraId="10332E5A" w14:textId="77777777" w:rsidR="00FF5C5D" w:rsidRDefault="00FF5C5D">
      <w:pPr>
        <w:pStyle w:val="BodyText"/>
        <w:spacing w:before="3"/>
        <w:rPr>
          <w:rFonts w:ascii="Minion Pro"/>
          <w:sz w:val="26"/>
        </w:rPr>
      </w:pPr>
    </w:p>
    <w:sectPr w:rsidR="00FF5C5D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C5D42C" w14:textId="77777777" w:rsidR="006A512F" w:rsidRDefault="006A512F">
      <w:r>
        <w:separator/>
      </w:r>
    </w:p>
  </w:endnote>
  <w:endnote w:type="continuationSeparator" w:id="0">
    <w:p w14:paraId="5AAEFEC6" w14:textId="77777777" w:rsidR="006A512F" w:rsidRDefault="006A5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0E71B8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935C809" wp14:editId="0F47CEE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DBFDA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D061151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35C80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" filled="f" stroked="f">
              <v:textbox inset="0,0,0,0">
                <w:txbxContent>
                  <w:p w14:paraId="748DBFDA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D061151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0D907EC" wp14:editId="3111D5A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110A8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5CD1F3B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0D907EC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" filled="f" stroked="f">
              <v:textbox inset="0,0,0,0">
                <w:txbxContent>
                  <w:p w14:paraId="01110A84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5CD1F3B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43F5219" wp14:editId="5C3D536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46D71D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6CB751C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3F5219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mD27rw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" filled="f" stroked="f">
              <v:textbox inset="0,0,0,0">
                <w:txbxContent>
                  <w:p w14:paraId="4446D71D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6CB751C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A64E0B" w14:textId="77777777" w:rsidR="006A512F" w:rsidRDefault="006A512F">
      <w:r>
        <w:separator/>
      </w:r>
    </w:p>
  </w:footnote>
  <w:footnote w:type="continuationSeparator" w:id="0">
    <w:p w14:paraId="2A51F17A" w14:textId="77777777" w:rsidR="006A512F" w:rsidRDefault="006A51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9DCFAC" w14:textId="77777777" w:rsidR="00EA7F87" w:rsidRDefault="00665F3C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4771E2B" wp14:editId="68CD1B34">
              <wp:simplePos x="0" y="0"/>
              <wp:positionH relativeFrom="page">
                <wp:posOffset>3261995</wp:posOffset>
              </wp:positionH>
              <wp:positionV relativeFrom="page">
                <wp:posOffset>283210</wp:posOffset>
              </wp:positionV>
              <wp:extent cx="3851275" cy="45085"/>
              <wp:effectExtent l="0" t="0" r="15875" b="1206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3851275" cy="45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B5C42D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5:3(S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771E2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56.85pt;margin-top:22.3pt;width:303.25pt;height:3.55pt;flip:y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" filled="f" stroked="f">
              <v:textbox inset="0,0,0,0">
                <w:txbxContent>
                  <w:p w14:paraId="37B5C42D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5:3(S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834D439" w14:textId="77777777" w:rsidR="00EA7F87" w:rsidRDefault="00EA7F87">
    <w:pPr>
      <w:pStyle w:val="BodyText"/>
      <w:spacing w:line="14" w:lineRule="auto"/>
      <w:rPr>
        <w:sz w:val="20"/>
      </w:rPr>
    </w:pPr>
  </w:p>
  <w:p w14:paraId="5DBE6745" w14:textId="77777777" w:rsidR="00EA7F87" w:rsidRDefault="00EA7F87">
    <w:pPr>
      <w:pStyle w:val="BodyText"/>
      <w:spacing w:line="14" w:lineRule="auto"/>
      <w:rPr>
        <w:sz w:val="20"/>
      </w:rPr>
    </w:pPr>
  </w:p>
  <w:p w14:paraId="6C8CB6BA" w14:textId="77777777" w:rsidR="00EA7F87" w:rsidRDefault="00EA7F87">
    <w:pPr>
      <w:pStyle w:val="BodyText"/>
      <w:spacing w:line="14" w:lineRule="auto"/>
      <w:rPr>
        <w:sz w:val="20"/>
      </w:rPr>
    </w:pPr>
  </w:p>
  <w:p w14:paraId="6D4AF6A7" w14:textId="77777777" w:rsidR="00EA7F87" w:rsidRDefault="00EA7F87">
    <w:pPr>
      <w:pStyle w:val="BodyText"/>
      <w:spacing w:line="14" w:lineRule="auto"/>
      <w:rPr>
        <w:sz w:val="20"/>
      </w:rPr>
    </w:pPr>
  </w:p>
  <w:p w14:paraId="6FE552E3" w14:textId="77777777" w:rsidR="00EA7F87" w:rsidRDefault="00EA7F87">
    <w:pPr>
      <w:pStyle w:val="BodyText"/>
      <w:spacing w:line="14" w:lineRule="auto"/>
      <w:rPr>
        <w:sz w:val="20"/>
      </w:rPr>
    </w:pPr>
  </w:p>
  <w:p w14:paraId="4BA9AFCC" w14:textId="77777777" w:rsidR="00EA7F87" w:rsidRDefault="00EA7F87">
    <w:pPr>
      <w:pStyle w:val="BodyText"/>
      <w:spacing w:line="14" w:lineRule="auto"/>
      <w:rPr>
        <w:sz w:val="20"/>
      </w:rPr>
    </w:pPr>
  </w:p>
  <w:p w14:paraId="47C9FD26" w14:textId="77777777" w:rsidR="00EA7F87" w:rsidRDefault="00EA7F87">
    <w:pPr>
      <w:pStyle w:val="BodyText"/>
      <w:spacing w:line="14" w:lineRule="auto"/>
      <w:rPr>
        <w:sz w:val="20"/>
      </w:rPr>
    </w:pPr>
  </w:p>
  <w:p w14:paraId="2B01850E" w14:textId="77777777" w:rsidR="00EA7F87" w:rsidRDefault="00EA7F87">
    <w:pPr>
      <w:pStyle w:val="BodyText"/>
      <w:spacing w:line="14" w:lineRule="auto"/>
      <w:rPr>
        <w:sz w:val="20"/>
      </w:rPr>
    </w:pPr>
  </w:p>
  <w:p w14:paraId="745A334A" w14:textId="77777777" w:rsidR="00EA7F87" w:rsidRDefault="00EA7F87">
    <w:pPr>
      <w:pStyle w:val="BodyText"/>
      <w:spacing w:line="14" w:lineRule="auto"/>
      <w:rPr>
        <w:sz w:val="20"/>
      </w:rPr>
    </w:pPr>
  </w:p>
  <w:p w14:paraId="436E897B" w14:textId="77777777" w:rsidR="00EA7F87" w:rsidRDefault="00EA7F87">
    <w:pPr>
      <w:pStyle w:val="BodyText"/>
      <w:spacing w:line="14" w:lineRule="auto"/>
      <w:rPr>
        <w:sz w:val="20"/>
      </w:rPr>
    </w:pPr>
  </w:p>
  <w:p w14:paraId="029D073C" w14:textId="77777777" w:rsidR="00EA7F87" w:rsidRDefault="00EA7F87">
    <w:pPr>
      <w:pStyle w:val="BodyText"/>
      <w:spacing w:line="14" w:lineRule="auto"/>
      <w:rPr>
        <w:sz w:val="20"/>
      </w:rPr>
    </w:pPr>
  </w:p>
  <w:p w14:paraId="5D2B2A37" w14:textId="77777777" w:rsidR="00EA7F87" w:rsidRDefault="00EA7F87">
    <w:pPr>
      <w:pStyle w:val="BodyText"/>
      <w:spacing w:line="14" w:lineRule="auto"/>
      <w:rPr>
        <w:sz w:val="20"/>
      </w:rPr>
    </w:pPr>
  </w:p>
  <w:p w14:paraId="5BFF5A45" w14:textId="77777777" w:rsidR="00EA7F87" w:rsidRDefault="00EA7F87">
    <w:pPr>
      <w:pStyle w:val="BodyText"/>
      <w:spacing w:line="14" w:lineRule="auto"/>
      <w:rPr>
        <w:sz w:val="20"/>
      </w:rPr>
    </w:pPr>
  </w:p>
  <w:p w14:paraId="6E36F52F" w14:textId="77777777" w:rsidR="00EA7F87" w:rsidRDefault="00EA7F87">
    <w:pPr>
      <w:pStyle w:val="BodyText"/>
      <w:spacing w:line="14" w:lineRule="auto"/>
      <w:rPr>
        <w:sz w:val="20"/>
      </w:rPr>
    </w:pPr>
  </w:p>
  <w:p w14:paraId="4D691066" w14:textId="77777777" w:rsidR="00EA7F87" w:rsidRDefault="00EA7F87">
    <w:pPr>
      <w:pStyle w:val="BodyText"/>
      <w:spacing w:line="14" w:lineRule="auto"/>
      <w:rPr>
        <w:sz w:val="20"/>
      </w:rPr>
    </w:pPr>
  </w:p>
  <w:p w14:paraId="52A6EA80" w14:textId="77777777" w:rsidR="00EA7F87" w:rsidRDefault="00EA7F87">
    <w:pPr>
      <w:pStyle w:val="BodyText"/>
      <w:spacing w:line="14" w:lineRule="auto"/>
      <w:rPr>
        <w:sz w:val="20"/>
      </w:rPr>
    </w:pPr>
  </w:p>
  <w:p w14:paraId="687F1B58" w14:textId="77777777" w:rsidR="00EA7F87" w:rsidRDefault="00EA7F87">
    <w:pPr>
      <w:pStyle w:val="BodyText"/>
      <w:spacing w:line="14" w:lineRule="auto"/>
      <w:rPr>
        <w:sz w:val="20"/>
      </w:rPr>
    </w:pPr>
  </w:p>
  <w:p w14:paraId="6F48FFEB" w14:textId="77777777" w:rsidR="00EA7F87" w:rsidRDefault="00EA7F87">
    <w:pPr>
      <w:pStyle w:val="BodyText"/>
      <w:spacing w:line="14" w:lineRule="auto"/>
      <w:rPr>
        <w:sz w:val="20"/>
      </w:rPr>
    </w:pPr>
  </w:p>
  <w:p w14:paraId="5E8ECB5D" w14:textId="77777777" w:rsidR="00EA7F87" w:rsidRDefault="00EA7F87">
    <w:pPr>
      <w:pStyle w:val="BodyText"/>
      <w:spacing w:line="14" w:lineRule="auto"/>
      <w:rPr>
        <w:sz w:val="20"/>
      </w:rPr>
    </w:pPr>
  </w:p>
  <w:p w14:paraId="271C8554" w14:textId="77777777" w:rsidR="00EA7F87" w:rsidRDefault="00EA7F87">
    <w:pPr>
      <w:pStyle w:val="BodyText"/>
      <w:spacing w:line="14" w:lineRule="auto"/>
      <w:rPr>
        <w:sz w:val="20"/>
      </w:rPr>
    </w:pPr>
  </w:p>
  <w:p w14:paraId="0C33B97E" w14:textId="77777777" w:rsidR="00EA7F87" w:rsidRDefault="00EA7F87">
    <w:pPr>
      <w:pStyle w:val="BodyText"/>
      <w:spacing w:line="14" w:lineRule="auto"/>
      <w:rPr>
        <w:sz w:val="20"/>
      </w:rPr>
    </w:pPr>
  </w:p>
  <w:p w14:paraId="375FBF4F" w14:textId="77777777" w:rsidR="00EA7F87" w:rsidRDefault="00EA7F87">
    <w:pPr>
      <w:pStyle w:val="BodyText"/>
      <w:spacing w:line="14" w:lineRule="auto"/>
      <w:rPr>
        <w:sz w:val="20"/>
      </w:rPr>
    </w:pPr>
  </w:p>
  <w:p w14:paraId="6F3B1DCD" w14:textId="77777777" w:rsidR="00EA7F87" w:rsidRDefault="00EA7F87">
    <w:pPr>
      <w:pStyle w:val="BodyText"/>
      <w:spacing w:line="14" w:lineRule="auto"/>
      <w:rPr>
        <w:sz w:val="20"/>
      </w:rPr>
    </w:pPr>
  </w:p>
  <w:p w14:paraId="49F33516" w14:textId="77777777" w:rsidR="00EA7F87" w:rsidRDefault="00EA7F87">
    <w:pPr>
      <w:pStyle w:val="BodyText"/>
      <w:spacing w:line="14" w:lineRule="auto"/>
      <w:rPr>
        <w:sz w:val="20"/>
      </w:rPr>
    </w:pPr>
  </w:p>
  <w:p w14:paraId="12487153" w14:textId="77777777" w:rsidR="00EA7F87" w:rsidRDefault="00EA7F87">
    <w:pPr>
      <w:pStyle w:val="BodyText"/>
      <w:spacing w:line="14" w:lineRule="auto"/>
      <w:rPr>
        <w:sz w:val="20"/>
      </w:rPr>
    </w:pPr>
  </w:p>
  <w:p w14:paraId="003038F3" w14:textId="77777777" w:rsidR="00EA7F87" w:rsidRDefault="00EA7F87">
    <w:pPr>
      <w:pStyle w:val="BodyText"/>
      <w:spacing w:line="14" w:lineRule="auto"/>
      <w:rPr>
        <w:sz w:val="20"/>
      </w:rPr>
    </w:pPr>
  </w:p>
  <w:p w14:paraId="550573CE" w14:textId="77777777" w:rsidR="00EA7F87" w:rsidRDefault="00EA7F87">
    <w:pPr>
      <w:pStyle w:val="BodyText"/>
      <w:spacing w:line="14" w:lineRule="auto"/>
      <w:rPr>
        <w:sz w:val="20"/>
      </w:rPr>
    </w:pPr>
  </w:p>
  <w:p w14:paraId="4D388226" w14:textId="77777777" w:rsidR="00EA7F87" w:rsidRDefault="00EA7F87">
    <w:pPr>
      <w:pStyle w:val="BodyText"/>
      <w:spacing w:line="14" w:lineRule="auto"/>
      <w:rPr>
        <w:sz w:val="20"/>
      </w:rPr>
    </w:pPr>
  </w:p>
  <w:p w14:paraId="0BE5CBA4" w14:textId="77777777" w:rsidR="00EA7F87" w:rsidRDefault="00EA7F87">
    <w:pPr>
      <w:pStyle w:val="BodyText"/>
      <w:spacing w:line="14" w:lineRule="auto"/>
      <w:rPr>
        <w:sz w:val="20"/>
      </w:rPr>
    </w:pPr>
  </w:p>
  <w:p w14:paraId="09C21245" w14:textId="77777777" w:rsidR="00EA7F87" w:rsidRDefault="00EA7F87">
    <w:pPr>
      <w:pStyle w:val="BodyText"/>
      <w:spacing w:line="14" w:lineRule="auto"/>
      <w:rPr>
        <w:sz w:val="20"/>
      </w:rPr>
    </w:pPr>
  </w:p>
  <w:p w14:paraId="7543A3AD" w14:textId="77777777" w:rsidR="00EA7F87" w:rsidRDefault="00EA7F87">
    <w:pPr>
      <w:pStyle w:val="BodyText"/>
      <w:spacing w:line="14" w:lineRule="auto"/>
      <w:rPr>
        <w:sz w:val="20"/>
      </w:rPr>
    </w:pPr>
  </w:p>
  <w:p w14:paraId="3EEB100B" w14:textId="77777777" w:rsidR="00EA7F87" w:rsidRDefault="00EA7F87">
    <w:pPr>
      <w:pStyle w:val="BodyText"/>
      <w:spacing w:line="14" w:lineRule="auto"/>
      <w:rPr>
        <w:sz w:val="20"/>
      </w:rPr>
    </w:pPr>
  </w:p>
  <w:p w14:paraId="5AD35AEC" w14:textId="77777777" w:rsidR="00AE3E37" w:rsidRDefault="00EA7F87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F9993F3" wp14:editId="61CDA6FE">
              <wp:simplePos x="0" y="0"/>
              <wp:positionH relativeFrom="page">
                <wp:posOffset>394970</wp:posOffset>
              </wp:positionH>
              <wp:positionV relativeFrom="page">
                <wp:posOffset>599440</wp:posOffset>
              </wp:positionV>
              <wp:extent cx="6955155" cy="773430"/>
              <wp:effectExtent l="0" t="0" r="17145" b="762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55155" cy="773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77B03E" w14:textId="77777777" w:rsidR="00AE3E37" w:rsidRPr="00EA7F87" w:rsidRDefault="00AE3E37" w:rsidP="00EA7F87">
                          <w:pPr>
                            <w:spacing w:line="614" w:lineRule="exact"/>
                            <w:ind w:right="-10"/>
                            <w:rPr>
                              <w:rFonts w:ascii="Minion Pro"/>
                              <w:color w:val="FFFFFF" w:themeColor="background1"/>
                              <w:sz w:val="24"/>
                              <w:lang w:val="en-IN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9993F3" id="Text Box 4" o:spid="_x0000_s1027" type="#_x0000_t202" style="position:absolute;margin-left:31.1pt;margin-top:47.2pt;width:547.65pt;height:60.9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" filled="f" stroked="f">
              <v:textbox inset="0,0,0,0">
                <w:txbxContent>
                  <w:p w14:paraId="0677B03E" w14:textId="77777777" w:rsidR="00AE3E37" w:rsidRPr="00EA7F87" w:rsidRDefault="00AE3E37" w:rsidP="00EA7F87">
                    <w:pPr>
                      <w:spacing w:line="614" w:lineRule="exact"/>
                      <w:ind w:right="-10"/>
                      <w:rPr>
                        <w:rFonts w:ascii="Minion Pro"/>
                        <w:color w:val="FFFFFF" w:themeColor="background1"/>
                        <w:sz w:val="24"/>
                        <w:lang w:val="en-I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D9185F">
      <w:rPr>
        <w:rFonts w:ascii="Impact"/>
        <w:noProof/>
        <w:color w:val="FFFFFF" w:themeColor="background1"/>
        <w:sz w:val="52"/>
        <w:lang w:val="en-IN" w:eastAsia="en-IN"/>
      </w:rPr>
      <w:ptab w:relativeTo="margin" w:alignment="center" w:leader="middleDot"/>
    </w:r>
    <w:r w:rsidR="00D9185F">
      <w:rPr>
        <w:rFonts w:ascii="Impact"/>
        <w:noProof/>
        <w:color w:val="FFFFFF" w:themeColor="background1"/>
        <w:sz w:val="52"/>
        <w:lang w:val="en-IN" w:eastAsia="en-IN"/>
      </w:rPr>
      <w:drawing>
        <wp:inline distT="0" distB="0" distL="0" distR="0" wp14:anchorId="298C56AF" wp14:editId="07E64D72">
          <wp:extent cx="6803136" cy="1082650"/>
          <wp:effectExtent l="0" t="0" r="0" b="3810"/>
          <wp:docPr id="6" name="Picture 6" descr="C:\Users\preventioncontrolmin\Desktop\surgery2020\Surgery_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preventioncontrolmin\Desktop\surgery2020\Surgery_202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3136" cy="1082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Tw Cen MT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sef2sx5szw0v3e09z6vexej2dw2te0zwrfe&quot;&gt;MIS SPINE-REV&lt;record-ids&gt;&lt;item&gt;1&lt;/item&gt;&lt;item&gt;2&lt;/item&gt;&lt;item&gt;26&lt;/item&gt;&lt;item&gt;30&lt;/item&gt;&lt;item&gt;31&lt;/item&gt;&lt;/record-ids&gt;&lt;/item&gt;&lt;/Libraries&gt;"/>
  </w:docVars>
  <w:rsids>
    <w:rsidRoot w:val="00AE3E37"/>
    <w:rsid w:val="000E2911"/>
    <w:rsid w:val="001263DF"/>
    <w:rsid w:val="001C73BA"/>
    <w:rsid w:val="001E2356"/>
    <w:rsid w:val="001F2371"/>
    <w:rsid w:val="002455EC"/>
    <w:rsid w:val="00292ED9"/>
    <w:rsid w:val="00294DEE"/>
    <w:rsid w:val="003C0661"/>
    <w:rsid w:val="00404E5B"/>
    <w:rsid w:val="004072DB"/>
    <w:rsid w:val="00414F7B"/>
    <w:rsid w:val="00430CC0"/>
    <w:rsid w:val="004355DC"/>
    <w:rsid w:val="004749B4"/>
    <w:rsid w:val="00494130"/>
    <w:rsid w:val="004A1B6D"/>
    <w:rsid w:val="004D2790"/>
    <w:rsid w:val="004F3523"/>
    <w:rsid w:val="005973B9"/>
    <w:rsid w:val="005B3A56"/>
    <w:rsid w:val="006060CE"/>
    <w:rsid w:val="00625867"/>
    <w:rsid w:val="0063497F"/>
    <w:rsid w:val="00641EE5"/>
    <w:rsid w:val="00665F3C"/>
    <w:rsid w:val="006A512F"/>
    <w:rsid w:val="00703CA0"/>
    <w:rsid w:val="007553A8"/>
    <w:rsid w:val="00873DF0"/>
    <w:rsid w:val="008756E6"/>
    <w:rsid w:val="008A08B6"/>
    <w:rsid w:val="009B2D44"/>
    <w:rsid w:val="009C2AC2"/>
    <w:rsid w:val="00A07E82"/>
    <w:rsid w:val="00A621ED"/>
    <w:rsid w:val="00A9710C"/>
    <w:rsid w:val="00AE3E37"/>
    <w:rsid w:val="00AF4BA6"/>
    <w:rsid w:val="00B21A57"/>
    <w:rsid w:val="00B303DE"/>
    <w:rsid w:val="00C22928"/>
    <w:rsid w:val="00C33602"/>
    <w:rsid w:val="00CB44F9"/>
    <w:rsid w:val="00CB749E"/>
    <w:rsid w:val="00CD6F55"/>
    <w:rsid w:val="00D22825"/>
    <w:rsid w:val="00D75FF0"/>
    <w:rsid w:val="00D9185F"/>
    <w:rsid w:val="00DB351F"/>
    <w:rsid w:val="00DC756C"/>
    <w:rsid w:val="00DE3104"/>
    <w:rsid w:val="00E261AE"/>
    <w:rsid w:val="00E26B10"/>
    <w:rsid w:val="00E660EA"/>
    <w:rsid w:val="00E700AF"/>
    <w:rsid w:val="00EA7F87"/>
    <w:rsid w:val="00F53434"/>
    <w:rsid w:val="00F71C4C"/>
    <w:rsid w:val="00F72EEA"/>
    <w:rsid w:val="00F84CAE"/>
    <w:rsid w:val="00FC55FC"/>
    <w:rsid w:val="00FD6696"/>
    <w:rsid w:val="00FF5C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C3FCD7"/>
  <w15:docId w15:val="{6A973256-66A1-794C-84DB-6D671141D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TableGrid">
    <w:name w:val="Table Grid"/>
    <w:basedOn w:val="TableNormal"/>
    <w:uiPriority w:val="39"/>
    <w:rsid w:val="00DB351F"/>
    <w:pPr>
      <w:widowControl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E660EA"/>
    <w:pPr>
      <w:jc w:val="center"/>
    </w:pPr>
    <w:rPr>
      <w:sz w:val="18"/>
    </w:rPr>
  </w:style>
  <w:style w:type="character" w:customStyle="1" w:styleId="EndNoteBibliographyTitleChar">
    <w:name w:val="EndNote Bibliography Title Char"/>
    <w:basedOn w:val="BodyTextChar"/>
    <w:link w:val="EndNoteBibliographyTitle"/>
    <w:rsid w:val="00E660EA"/>
    <w:rPr>
      <w:rFonts w:ascii="Tw Cen MT" w:eastAsia="Tw Cen MT" w:hAnsi="Tw Cen MT" w:cs="Tw Cen MT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E660EA"/>
    <w:pPr>
      <w:jc w:val="both"/>
    </w:pPr>
    <w:rPr>
      <w:sz w:val="18"/>
    </w:rPr>
  </w:style>
  <w:style w:type="character" w:customStyle="1" w:styleId="EndNoteBibliographyChar">
    <w:name w:val="EndNote Bibliography Char"/>
    <w:basedOn w:val="BodyTextChar"/>
    <w:link w:val="EndNoteBibliography"/>
    <w:rsid w:val="00E660EA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720</Words>
  <Characters>4107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Paul D Mongan</cp:lastModifiedBy>
  <cp:revision>5</cp:revision>
  <dcterms:created xsi:type="dcterms:W3CDTF">2019-12-19T19:48:00Z</dcterms:created>
  <dcterms:modified xsi:type="dcterms:W3CDTF">2019-12-20T14:21:00Z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