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29521D" w14:textId="5077795E" w:rsidR="00AE3E37" w:rsidRPr="00AA62C0" w:rsidRDefault="00AA62C0" w:rsidP="00AA62C0">
      <w:pPr>
        <w:pStyle w:val="Heading1"/>
      </w:pPr>
      <w:r w:rsidRPr="00AA62C0">
        <w:t xml:space="preserve">The </w:t>
      </w:r>
      <w:r w:rsidRPr="00AA62C0">
        <w:t>Ad</w:t>
      </w:r>
      <w:bookmarkStart w:id="0" w:name="_GoBack"/>
      <w:bookmarkEnd w:id="0"/>
      <w:r w:rsidRPr="00AA62C0">
        <w:t>denbrookes Vascular Frailty Score</w:t>
      </w:r>
      <w:r w:rsidRPr="00AA62C0">
        <w:t xml:space="preserve"> predicts adverse </w:t>
      </w:r>
      <w:r w:rsidR="000B71C5">
        <w:t xml:space="preserve">long-term </w:t>
      </w:r>
      <w:r w:rsidRPr="00AA62C0">
        <w:t xml:space="preserve">outcomes in vascular surgery patients </w:t>
      </w:r>
    </w:p>
    <w:p w14:paraId="1CCB0757" w14:textId="77777777" w:rsidR="00AA62C0" w:rsidRDefault="00AA62C0" w:rsidP="00AA62C0">
      <w:pPr>
        <w:rPr>
          <w:sz w:val="20"/>
          <w:szCs w:val="20"/>
          <w:lang w:val="en-GB"/>
        </w:rPr>
      </w:pPr>
      <w:proofErr w:type="spellStart"/>
      <w:r w:rsidRPr="00AA62C0">
        <w:rPr>
          <w:sz w:val="20"/>
          <w:szCs w:val="20"/>
        </w:rPr>
        <w:t>Prasanti</w:t>
      </w:r>
      <w:proofErr w:type="spellEnd"/>
      <w:r w:rsidRPr="00AA62C0">
        <w:rPr>
          <w:sz w:val="20"/>
          <w:szCs w:val="20"/>
        </w:rPr>
        <w:t xml:space="preserve"> Alekhya Kotta, </w:t>
      </w:r>
      <w:r w:rsidRPr="00AA62C0">
        <w:rPr>
          <w:sz w:val="20"/>
          <w:szCs w:val="20"/>
          <w:lang w:val="en-GB"/>
        </w:rPr>
        <w:t>Cambridge Vascular Unit, Addenbrooke’s Hospital, Cambridge University Hospitals NHS Foundation Trust</w:t>
      </w:r>
    </w:p>
    <w:p w14:paraId="33E5666E" w14:textId="1701EE23" w:rsidR="00AA62C0" w:rsidRPr="00AA62C0" w:rsidRDefault="00AA62C0" w:rsidP="00AA62C0">
      <w:pPr>
        <w:rPr>
          <w:sz w:val="20"/>
          <w:szCs w:val="20"/>
          <w:lang w:val="en-GB"/>
        </w:rPr>
      </w:pPr>
      <w:r w:rsidRPr="00AA62C0">
        <w:rPr>
          <w:sz w:val="20"/>
          <w:szCs w:val="20"/>
        </w:rPr>
        <w:t xml:space="preserve">GK Ambler, </w:t>
      </w:r>
      <w:r w:rsidRPr="00AA62C0">
        <w:rPr>
          <w:sz w:val="20"/>
          <w:szCs w:val="20"/>
          <w:lang w:val="en-GB"/>
        </w:rPr>
        <w:t>Cambridge Vascular Unit, Addenbrooke’s Hospital, Cambridge University Hospitals NHS Foundation Trust</w:t>
      </w:r>
    </w:p>
    <w:p w14:paraId="02974AEE" w14:textId="40196A48" w:rsidR="00AA62C0" w:rsidRPr="00AA62C0" w:rsidRDefault="00AA62C0" w:rsidP="00AA62C0">
      <w:pPr>
        <w:rPr>
          <w:sz w:val="20"/>
          <w:szCs w:val="20"/>
        </w:rPr>
      </w:pPr>
      <w:r w:rsidRPr="00AA62C0">
        <w:rPr>
          <w:sz w:val="20"/>
          <w:szCs w:val="20"/>
        </w:rPr>
        <w:t xml:space="preserve">Patrick Coughlin, </w:t>
      </w:r>
      <w:r w:rsidRPr="00AA62C0">
        <w:rPr>
          <w:sz w:val="20"/>
          <w:szCs w:val="20"/>
          <w:lang w:val="en-GB"/>
        </w:rPr>
        <w:t xml:space="preserve">Cambridge Vascular Unit, Addenbrooke’s Hospital, Cambridge University Hospitals NHS Foundation Trust, </w:t>
      </w:r>
    </w:p>
    <w:p w14:paraId="705BE545" w14:textId="499DF507" w:rsidR="00AA62C0" w:rsidRDefault="00AA62C0">
      <w:pPr>
        <w:rPr>
          <w:rFonts w:ascii="Arial"/>
          <w:sz w:val="21"/>
        </w:rPr>
        <w:sectPr w:rsidR="00AA62C0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077747E" w14:textId="2A0F345D" w:rsidR="00AE3E37" w:rsidRDefault="00A9710C" w:rsidP="00AA62C0">
      <w:pPr>
        <w:pStyle w:val="Heading3"/>
        <w:spacing w:before="147"/>
        <w:ind w:left="0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2458A888" w14:textId="77777777" w:rsidR="00AA62C0" w:rsidRDefault="00AA62C0" w:rsidP="00AA62C0">
      <w:pPr>
        <w:pStyle w:val="Heading3"/>
        <w:spacing w:before="147"/>
        <w:ind w:left="0"/>
        <w:jc w:val="both"/>
      </w:pPr>
    </w:p>
    <w:p w14:paraId="32C55002" w14:textId="77777777" w:rsidR="00AA62C0" w:rsidRPr="00A52931" w:rsidRDefault="00AA62C0" w:rsidP="00AA62C0">
      <w:r w:rsidRPr="00A52931">
        <w:rPr>
          <w:b/>
        </w:rPr>
        <w:t>Objective</w:t>
      </w:r>
      <w:r w:rsidRPr="00A52931">
        <w:t xml:space="preserve">: Frailty is a multi-dimensional </w:t>
      </w:r>
      <w:r>
        <w:t xml:space="preserve">age-associated </w:t>
      </w:r>
      <w:r w:rsidRPr="00A52931">
        <w:t xml:space="preserve">vulnerability </w:t>
      </w:r>
      <w:r>
        <w:t>which adversely affect short- and medium-term outcomes in Vascular Surgical patients.  We determined the effects of frailty on long-term survival and readmission.</w:t>
      </w:r>
    </w:p>
    <w:p w14:paraId="569B3B36" w14:textId="77777777" w:rsidR="00AA62C0" w:rsidRPr="00A52931" w:rsidRDefault="00AA62C0" w:rsidP="00AA62C0"/>
    <w:p w14:paraId="1C3B6255" w14:textId="77777777" w:rsidR="00AA62C0" w:rsidRPr="00A52931" w:rsidRDefault="00AA62C0" w:rsidP="00AA62C0">
      <w:r w:rsidRPr="00A52931">
        <w:rPr>
          <w:b/>
        </w:rPr>
        <w:t>Methods</w:t>
      </w:r>
      <w:r w:rsidRPr="00A52931">
        <w:t xml:space="preserve">: Patients admitted to a tertiary vascular unit over </w:t>
      </w:r>
      <w:r>
        <w:t>the</w:t>
      </w:r>
      <w:r w:rsidRPr="00A52931">
        <w:t xml:space="preserve"> year </w:t>
      </w:r>
      <w:r>
        <w:t xml:space="preserve">2012 </w:t>
      </w:r>
      <w:r w:rsidRPr="00A52931">
        <w:t xml:space="preserve">were </w:t>
      </w:r>
      <w:r>
        <w:t>included</w:t>
      </w:r>
      <w:r w:rsidRPr="00A52931">
        <w:t>.</w:t>
      </w:r>
      <w:r>
        <w:t xml:space="preserve">  Inclusion criteria were age</w:t>
      </w:r>
      <w:r w:rsidRPr="00A52931">
        <w:t xml:space="preserve"> over 65 years </w:t>
      </w:r>
      <w:r>
        <w:t>and</w:t>
      </w:r>
      <w:r w:rsidRPr="00A52931">
        <w:t xml:space="preserve"> length of stay </w:t>
      </w:r>
      <w:r>
        <w:t>over</w:t>
      </w:r>
      <w:r w:rsidRPr="00A52931">
        <w:t xml:space="preserve"> 2 days</w:t>
      </w:r>
      <w:r>
        <w:t>.</w:t>
      </w:r>
      <w:r w:rsidRPr="00A52931">
        <w:t xml:space="preserve"> </w:t>
      </w:r>
      <w:r>
        <w:t xml:space="preserve"> Demographics, diagnosis, mode of admission and</w:t>
      </w:r>
      <w:r w:rsidRPr="00A52931">
        <w:t xml:space="preserve"> </w:t>
      </w:r>
      <w:r>
        <w:t>multiple</w:t>
      </w:r>
      <w:r w:rsidRPr="00A52931">
        <w:t xml:space="preserve"> frailty-specific characteristics</w:t>
      </w:r>
      <w:r>
        <w:t xml:space="preserve"> were recorded. Patients were tracked using electronic medical records until the end of 2017,</w:t>
      </w:r>
      <w:r w:rsidRPr="00A52931">
        <w:t xml:space="preserve"> </w:t>
      </w:r>
      <w:r>
        <w:t>after which, we determined long-term</w:t>
      </w:r>
      <w:r w:rsidRPr="00A52931">
        <w:t xml:space="preserve"> survival and readmission rate</w:t>
      </w:r>
      <w:r>
        <w:t>s</w:t>
      </w:r>
      <w:r w:rsidRPr="00A52931">
        <w:t xml:space="preserve"> using multivariate </w:t>
      </w:r>
      <w:r>
        <w:t xml:space="preserve">Cox </w:t>
      </w:r>
      <w:r w:rsidRPr="00A52931">
        <w:t xml:space="preserve">regression techniques. The ability of </w:t>
      </w:r>
      <w:r>
        <w:t>previously developed</w:t>
      </w:r>
      <w:r w:rsidRPr="00A52931">
        <w:t xml:space="preserve"> frailty models to predict these outcomes was also assessed.</w:t>
      </w:r>
    </w:p>
    <w:p w14:paraId="2D3816F2" w14:textId="77777777" w:rsidR="00AA62C0" w:rsidRPr="00A52931" w:rsidRDefault="00AA62C0" w:rsidP="00AA62C0"/>
    <w:p w14:paraId="5BD50101" w14:textId="77777777" w:rsidR="00AA62C0" w:rsidRPr="00A52931" w:rsidRDefault="00AA62C0" w:rsidP="00AA62C0">
      <w:r w:rsidRPr="00A52931">
        <w:rPr>
          <w:b/>
        </w:rPr>
        <w:t>Results</w:t>
      </w:r>
      <w:r w:rsidRPr="00A52931">
        <w:t xml:space="preserve">: In total, 413 patients (median age 77 years) were </w:t>
      </w:r>
      <w:r>
        <w:t xml:space="preserve">included and </w:t>
      </w:r>
      <w:r w:rsidRPr="00A52931">
        <w:t xml:space="preserve">followed up </w:t>
      </w:r>
      <w:r>
        <w:t>until death or at least five years since the index admission</w:t>
      </w:r>
      <w:r w:rsidRPr="00A52931">
        <w:t xml:space="preserve">. </w:t>
      </w:r>
      <w:r>
        <w:t>The</w:t>
      </w:r>
      <w:r w:rsidRPr="00A52931">
        <w:t xml:space="preserve"> </w:t>
      </w:r>
      <w:r>
        <w:t xml:space="preserve">1-, </w:t>
      </w:r>
      <w:r w:rsidRPr="00A52931">
        <w:t xml:space="preserve">3- and </w:t>
      </w:r>
      <w:r>
        <w:t>5</w:t>
      </w:r>
      <w:r w:rsidRPr="00A52931">
        <w:t>-</w:t>
      </w:r>
      <w:r>
        <w:t>year</w:t>
      </w:r>
      <w:r w:rsidRPr="00A52931">
        <w:t xml:space="preserve"> </w:t>
      </w:r>
      <w:r>
        <w:t>survival</w:t>
      </w:r>
      <w:r w:rsidRPr="00A52931">
        <w:t xml:space="preserve"> </w:t>
      </w:r>
      <w:r>
        <w:t>rates were</w:t>
      </w:r>
      <w:r w:rsidRPr="00A52931">
        <w:t xml:space="preserve"> </w:t>
      </w:r>
      <w:r>
        <w:t>83</w:t>
      </w:r>
      <w:r w:rsidRPr="00A52931">
        <w:t>%</w:t>
      </w:r>
      <w:r>
        <w:t>, 70% and 59%; and the 1-, 3- and 5-year readmission-free survival rates were 47%, 29% and 22%</w:t>
      </w:r>
      <w:r w:rsidRPr="00A52931">
        <w:t xml:space="preserve"> respectively. </w:t>
      </w:r>
      <w:r>
        <w:t xml:space="preserve">Independent predictors of survival and readmission-free survival included the </w:t>
      </w:r>
      <w:proofErr w:type="spellStart"/>
      <w:r>
        <w:t>Charlson</w:t>
      </w:r>
      <w:proofErr w:type="spellEnd"/>
      <w:r>
        <w:t xml:space="preserve"> comorbidity index, polypharmacy, lack of independent mobility and emergency admission (P&lt;0.01 for all).  The </w:t>
      </w:r>
      <w:bookmarkStart w:id="1" w:name="_Hlk6345338"/>
      <w:r>
        <w:t>Addenbrookes Vascular</w:t>
      </w:r>
      <w:r w:rsidRPr="00A52931">
        <w:t xml:space="preserve"> </w:t>
      </w:r>
      <w:r>
        <w:t>F</w:t>
      </w:r>
      <w:r w:rsidRPr="00A52931">
        <w:t xml:space="preserve">railty </w:t>
      </w:r>
      <w:r>
        <w:t>S</w:t>
      </w:r>
      <w:r w:rsidRPr="00A52931">
        <w:t xml:space="preserve">core </w:t>
      </w:r>
      <w:bookmarkEnd w:id="1"/>
      <w:r>
        <w:t xml:space="preserve">(a previously described simple </w:t>
      </w:r>
      <w:proofErr w:type="gramStart"/>
      <w:r w:rsidRPr="00A52931">
        <w:t xml:space="preserve">6 </w:t>
      </w:r>
      <w:r>
        <w:t>point</w:t>
      </w:r>
      <w:proofErr w:type="gramEnd"/>
      <w:r>
        <w:t xml:space="preserve"> scale) divided patients well in terms of both outcomes (P&lt;0.0001 for both)</w:t>
      </w:r>
      <w:r w:rsidRPr="00A52931">
        <w:t xml:space="preserve">. </w:t>
      </w:r>
    </w:p>
    <w:p w14:paraId="15945AF5" w14:textId="77777777" w:rsidR="00AA62C0" w:rsidRPr="00A52931" w:rsidRDefault="00AA62C0" w:rsidP="00AA62C0"/>
    <w:p w14:paraId="77722970" w14:textId="77777777" w:rsidR="00AA62C0" w:rsidRPr="00A52931" w:rsidRDefault="00AA62C0" w:rsidP="00AA62C0">
      <w:r w:rsidRPr="00A52931">
        <w:rPr>
          <w:b/>
        </w:rPr>
        <w:t>Conclusions</w:t>
      </w:r>
      <w:r>
        <w:t>: This is the first study to show that frailty factors are excellent predictors of long-term outcomes in</w:t>
      </w:r>
      <w:r w:rsidRPr="00A52931">
        <w:t xml:space="preserve"> vascular surgery</w:t>
      </w:r>
      <w:r>
        <w:t xml:space="preserve"> patients</w:t>
      </w:r>
      <w:r w:rsidRPr="00A52931">
        <w:t xml:space="preserve">. </w:t>
      </w:r>
      <w:r>
        <w:t>Further validation is needed to determine their role in enhancing clinical decision-making specifically in determining patient fitness for intervention.</w:t>
      </w:r>
    </w:p>
    <w:p w14:paraId="51BCB2F4" w14:textId="3B5B25C8" w:rsidR="00AE3E37" w:rsidRDefault="00AE3E37">
      <w:pPr>
        <w:pStyle w:val="BodyText"/>
        <w:spacing w:before="90" w:line="280" w:lineRule="auto"/>
        <w:ind w:left="100"/>
        <w:jc w:val="both"/>
      </w:pPr>
    </w:p>
    <w:p w14:paraId="4F2A28C9" w14:textId="62ACA1AD" w:rsidR="00AE3E37" w:rsidRDefault="00A9710C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13C34F3B" w14:textId="77777777" w:rsidR="00AA62C0" w:rsidRDefault="00AA62C0">
      <w:pPr>
        <w:pStyle w:val="Heading3"/>
        <w:spacing w:before="74"/>
      </w:pPr>
    </w:p>
    <w:p w14:paraId="1F6B814F" w14:textId="717A026E" w:rsidR="00AE3E37" w:rsidRDefault="00AA62C0">
      <w:pPr>
        <w:pStyle w:val="BodyText"/>
        <w:spacing w:before="2"/>
        <w:rPr>
          <w:rFonts w:ascii="Arial"/>
          <w:b/>
          <w:sz w:val="16"/>
        </w:rPr>
      </w:pPr>
      <w:r w:rsidRPr="00AA62C0">
        <w:rPr>
          <w:rFonts w:ascii="Arial"/>
          <w:b/>
          <w:sz w:val="16"/>
        </w:rPr>
        <w:drawing>
          <wp:inline distT="0" distB="0" distL="0" distR="0" wp14:anchorId="1F661D0D" wp14:editId="2E1E4177">
            <wp:extent cx="3165475" cy="2018030"/>
            <wp:effectExtent l="19050" t="19050" r="15875" b="20320"/>
            <wp:docPr id="3088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901D669-7B91-43BC-AAA2-ABFF249363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8" name="Picture 1">
                      <a:extLst>
                        <a:ext uri="{FF2B5EF4-FFF2-40B4-BE49-F238E27FC236}">
                          <a16:creationId xmlns:a16="http://schemas.microsoft.com/office/drawing/2014/main" id="{A901D669-7B91-43BC-AAA2-ABFF249363B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01803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</wp:inline>
        </w:drawing>
      </w:r>
    </w:p>
    <w:p w14:paraId="70BC3B41" w14:textId="689F9D0B" w:rsidR="000B71C5" w:rsidRDefault="000B71C5">
      <w:pPr>
        <w:pStyle w:val="BodyText"/>
        <w:spacing w:before="2"/>
        <w:rPr>
          <w:rFonts w:ascii="Arial"/>
          <w:b/>
          <w:sz w:val="16"/>
        </w:rPr>
      </w:pPr>
      <w:r w:rsidRPr="000B71C5">
        <w:rPr>
          <w:rFonts w:ascii="Arial"/>
          <w:b/>
          <w:sz w:val="16"/>
        </w:rPr>
        <w:t>Kaplan</w:t>
      </w:r>
      <w:r w:rsidRPr="000B71C5">
        <w:rPr>
          <w:rFonts w:ascii="Arial"/>
          <w:b/>
          <w:sz w:val="16"/>
        </w:rPr>
        <w:t>–</w:t>
      </w:r>
      <w:r w:rsidRPr="000B71C5">
        <w:rPr>
          <w:rFonts w:ascii="Arial"/>
          <w:b/>
          <w:sz w:val="16"/>
        </w:rPr>
        <w:t>Meier survival curve for</w:t>
      </w:r>
      <w:r w:rsidRPr="000B71C5">
        <w:rPr>
          <w:rFonts w:ascii="Arial"/>
          <w:b/>
          <w:sz w:val="16"/>
        </w:rPr>
        <w:t xml:space="preserve"> </w:t>
      </w:r>
      <w:r w:rsidRPr="000B71C5">
        <w:rPr>
          <w:rFonts w:ascii="Arial"/>
          <w:b/>
          <w:sz w:val="16"/>
        </w:rPr>
        <w:t>overall survival according to the Addenbrooke</w:t>
      </w:r>
      <w:r w:rsidRPr="000B71C5">
        <w:rPr>
          <w:rFonts w:ascii="Arial"/>
          <w:b/>
          <w:sz w:val="16"/>
        </w:rPr>
        <w:t>’</w:t>
      </w:r>
      <w:r w:rsidRPr="000B71C5">
        <w:rPr>
          <w:rFonts w:ascii="Arial"/>
          <w:b/>
          <w:sz w:val="16"/>
        </w:rPr>
        <w:t>s Vascular Frailty Score (AVFS)</w:t>
      </w:r>
    </w:p>
    <w:p w14:paraId="093016CA" w14:textId="77777777" w:rsidR="00AA62C0" w:rsidRDefault="00AA62C0">
      <w:pPr>
        <w:pStyle w:val="BodyText"/>
        <w:spacing w:before="2"/>
        <w:rPr>
          <w:rFonts w:ascii="Arial"/>
          <w:b/>
          <w:sz w:val="16"/>
        </w:rPr>
      </w:pPr>
    </w:p>
    <w:p w14:paraId="7A4C88D1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4B3C108C" w14:textId="77777777" w:rsidR="000B71C5" w:rsidRPr="000B71C5" w:rsidRDefault="000B71C5" w:rsidP="000B71C5">
      <w:pPr>
        <w:numPr>
          <w:ilvl w:val="0"/>
          <w:numId w:val="4"/>
        </w:numPr>
        <w:tabs>
          <w:tab w:val="left" w:pos="384"/>
        </w:tabs>
        <w:ind w:right="117"/>
        <w:rPr>
          <w:lang w:val="en-GB"/>
        </w:rPr>
      </w:pPr>
      <w:r w:rsidRPr="000B71C5">
        <w:rPr>
          <w:lang w:val="en-GB"/>
        </w:rPr>
        <w:t>Ambler, G. K., et al. "Effect of frailty on short</w:t>
      </w:r>
      <w:r w:rsidRPr="000B71C5">
        <w:rPr>
          <w:rFonts w:ascii="Cambria Math" w:hAnsi="Cambria Math" w:cs="Cambria Math"/>
          <w:lang w:val="en-GB"/>
        </w:rPr>
        <w:t>‐</w:t>
      </w:r>
      <w:r w:rsidRPr="000B71C5">
        <w:rPr>
          <w:lang w:val="en-GB"/>
        </w:rPr>
        <w:t>and mid</w:t>
      </w:r>
      <w:r w:rsidRPr="000B71C5">
        <w:rPr>
          <w:rFonts w:ascii="Cambria Math" w:hAnsi="Cambria Math" w:cs="Cambria Math"/>
          <w:lang w:val="en-GB"/>
        </w:rPr>
        <w:t>‐</w:t>
      </w:r>
      <w:r w:rsidRPr="000B71C5">
        <w:rPr>
          <w:lang w:val="en-GB"/>
        </w:rPr>
        <w:t>term outcomes in vascular surgical patients." British Journal of Surgery 102.6 (2015): 638-645.</w:t>
      </w:r>
    </w:p>
    <w:p w14:paraId="5A53B4CF" w14:textId="77777777" w:rsidR="000B71C5" w:rsidRPr="000B71C5" w:rsidRDefault="000B71C5" w:rsidP="000B71C5">
      <w:pPr>
        <w:numPr>
          <w:ilvl w:val="0"/>
          <w:numId w:val="4"/>
        </w:numPr>
        <w:tabs>
          <w:tab w:val="left" w:pos="384"/>
        </w:tabs>
        <w:ind w:right="117"/>
        <w:rPr>
          <w:lang w:val="en-GB"/>
        </w:rPr>
      </w:pPr>
      <w:r w:rsidRPr="000B71C5">
        <w:rPr>
          <w:lang w:val="da-DK"/>
        </w:rPr>
        <w:t xml:space="preserve">Robinson, T. N. et al. Accumulated Frailty Characteristics Predict Postoperative Discharge Institutionalization in the Geriatric Patient. J Am Coll Surg. 2011;213:37–42. </w:t>
      </w:r>
    </w:p>
    <w:p w14:paraId="584C3CE5" w14:textId="249677C3" w:rsidR="000B71C5" w:rsidRPr="000B71C5" w:rsidRDefault="000B71C5" w:rsidP="000B71C5">
      <w:pPr>
        <w:numPr>
          <w:ilvl w:val="0"/>
          <w:numId w:val="4"/>
        </w:numPr>
        <w:tabs>
          <w:tab w:val="left" w:pos="384"/>
        </w:tabs>
        <w:ind w:right="117"/>
        <w:rPr>
          <w:lang w:val="en-GB"/>
        </w:rPr>
      </w:pPr>
      <w:r w:rsidRPr="000B71C5">
        <w:rPr>
          <w:lang w:val="da-DK"/>
        </w:rPr>
        <w:t>Revenig LM et al. Too Frail for Surgery? Initial Results of a Large Multidisciplinary Prospective Study Examining Preoperative Variables Predictive of Poor Surgical Outcomes. J Am Coll Surg. 2013;217:665-670.</w:t>
      </w:r>
    </w:p>
    <w:p w14:paraId="3B7D36E7" w14:textId="37E5ACA5" w:rsidR="000B71C5" w:rsidRDefault="000B71C5" w:rsidP="000B71C5">
      <w:pPr>
        <w:numPr>
          <w:ilvl w:val="0"/>
          <w:numId w:val="4"/>
        </w:numPr>
        <w:tabs>
          <w:tab w:val="left" w:pos="384"/>
        </w:tabs>
        <w:ind w:right="117"/>
        <w:rPr>
          <w:lang w:val="en-GB"/>
        </w:rPr>
      </w:pPr>
      <w:r w:rsidRPr="000B71C5">
        <w:rPr>
          <w:lang w:val="en-GB"/>
        </w:rPr>
        <w:t xml:space="preserve">Etzioni DA, Liu JH, Maggard MA, Ko CY. The aging population and its impact on the surgery workforce. Ann </w:t>
      </w:r>
      <w:proofErr w:type="spellStart"/>
      <w:r w:rsidRPr="000B71C5">
        <w:rPr>
          <w:lang w:val="en-GB"/>
        </w:rPr>
        <w:t>Surg</w:t>
      </w:r>
      <w:proofErr w:type="spellEnd"/>
      <w:r w:rsidRPr="000B71C5">
        <w:rPr>
          <w:lang w:val="en-GB"/>
        </w:rPr>
        <w:t xml:space="preserve"> 2003; 238: 170–177.</w:t>
      </w:r>
    </w:p>
    <w:p w14:paraId="011D1867" w14:textId="6D32DD49" w:rsidR="000B71C5" w:rsidRPr="000B71C5" w:rsidRDefault="000B71C5" w:rsidP="000B71C5">
      <w:pPr>
        <w:numPr>
          <w:ilvl w:val="0"/>
          <w:numId w:val="4"/>
        </w:numPr>
        <w:tabs>
          <w:tab w:val="left" w:pos="384"/>
        </w:tabs>
        <w:ind w:right="117"/>
        <w:rPr>
          <w:lang w:val="en-GB"/>
        </w:rPr>
      </w:pPr>
      <w:r w:rsidRPr="000B71C5">
        <w:rPr>
          <w:lang w:val="en-GB"/>
        </w:rPr>
        <w:t xml:space="preserve">Karam J, </w:t>
      </w:r>
      <w:proofErr w:type="spellStart"/>
      <w:r w:rsidRPr="000B71C5">
        <w:rPr>
          <w:lang w:val="en-GB"/>
        </w:rPr>
        <w:t>Tsiouris</w:t>
      </w:r>
      <w:proofErr w:type="spellEnd"/>
      <w:r w:rsidRPr="000B71C5">
        <w:rPr>
          <w:lang w:val="en-GB"/>
        </w:rPr>
        <w:t xml:space="preserve"> A, Shepard A, </w:t>
      </w:r>
      <w:proofErr w:type="spellStart"/>
      <w:r w:rsidRPr="000B71C5">
        <w:rPr>
          <w:lang w:val="en-GB"/>
        </w:rPr>
        <w:t>Velanovich</w:t>
      </w:r>
      <w:proofErr w:type="spellEnd"/>
      <w:r w:rsidRPr="000B71C5">
        <w:rPr>
          <w:lang w:val="en-GB"/>
        </w:rPr>
        <w:t xml:space="preserve"> V, </w:t>
      </w:r>
      <w:proofErr w:type="spellStart"/>
      <w:r w:rsidRPr="000B71C5">
        <w:rPr>
          <w:lang w:val="en-GB"/>
        </w:rPr>
        <w:t>Rubinfeld</w:t>
      </w:r>
      <w:proofErr w:type="spellEnd"/>
      <w:r w:rsidRPr="000B71C5">
        <w:rPr>
          <w:lang w:val="en-GB"/>
        </w:rPr>
        <w:t xml:space="preserve"> I. Simplified frailty index to predict adverse outcomes and mortality in vascular surgery patients. Ann </w:t>
      </w:r>
      <w:proofErr w:type="spellStart"/>
      <w:r w:rsidRPr="000B71C5">
        <w:rPr>
          <w:lang w:val="en-GB"/>
        </w:rPr>
        <w:t>Vasc</w:t>
      </w:r>
      <w:proofErr w:type="spellEnd"/>
      <w:r w:rsidRPr="000B71C5">
        <w:rPr>
          <w:lang w:val="en-GB"/>
        </w:rPr>
        <w:t xml:space="preserve"> </w:t>
      </w:r>
      <w:proofErr w:type="spellStart"/>
      <w:r w:rsidRPr="000B71C5">
        <w:rPr>
          <w:lang w:val="en-GB"/>
        </w:rPr>
        <w:t>Surg</w:t>
      </w:r>
      <w:proofErr w:type="spellEnd"/>
      <w:r w:rsidRPr="000B71C5">
        <w:rPr>
          <w:lang w:val="en-GB"/>
        </w:rPr>
        <w:t xml:space="preserve"> 2013; 27: 904–908.</w:t>
      </w:r>
    </w:p>
    <w:p w14:paraId="3070147A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56CE6B1B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47EFBC08" w14:textId="77777777" w:rsidR="00AE3E37" w:rsidRDefault="00AE3E37">
      <w:pPr>
        <w:pStyle w:val="BodyText"/>
        <w:rPr>
          <w:rFonts w:ascii="Calibri"/>
          <w:sz w:val="20"/>
        </w:rPr>
      </w:pPr>
    </w:p>
    <w:p w14:paraId="530D54D9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4936468E" wp14:editId="423D90A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8C975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17CEFC9" w14:textId="6ABC9B3A" w:rsidR="00AE3E37" w:rsidRDefault="00E70F23" w:rsidP="00404E5B">
      <w:pPr>
        <w:spacing w:before="92"/>
        <w:ind w:right="4234"/>
        <w:rPr>
          <w:rFonts w:ascii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048C4CD" wp14:editId="31A5808D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614045" cy="1000760"/>
            <wp:effectExtent l="0" t="0" r="0" b="889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89" cy="1007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color w:val="BF5A14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3B269F0B" w14:textId="10CB6F3F" w:rsidR="000B71C5" w:rsidRDefault="000B71C5" w:rsidP="00C02E9E">
      <w:pPr>
        <w:pStyle w:val="BodyText"/>
      </w:pPr>
      <w:proofErr w:type="spellStart"/>
      <w:r>
        <w:t>Prasanti</w:t>
      </w:r>
      <w:proofErr w:type="spellEnd"/>
      <w:r>
        <w:t xml:space="preserve"> Alekhya Kotta is a fifth</w:t>
      </w:r>
      <w:r w:rsidR="00C02E9E">
        <w:t>-</w:t>
      </w:r>
      <w:r>
        <w:t xml:space="preserve">year medical student at the University of Cambridge. She has undertaken a longitudinal research project with </w:t>
      </w:r>
      <w:proofErr w:type="spellStart"/>
      <w:r>
        <w:t>Mr</w:t>
      </w:r>
      <w:proofErr w:type="spellEnd"/>
      <w:r>
        <w:t xml:space="preserve"> Patrick Coughlin looking at the effect of frailty on long-term outcomes in vascular surgery patients, something that has never been looked at before. Key frailty specific characteristics were identified which independently predicted adverse outcomes</w:t>
      </w:r>
      <w:r w:rsidR="00C02E9E">
        <w:t>. T</w:t>
      </w:r>
      <w:r>
        <w:t xml:space="preserve">he </w:t>
      </w:r>
      <w:r>
        <w:t>Addenbrookes Vascular</w:t>
      </w:r>
      <w:r w:rsidRPr="00A52931">
        <w:t xml:space="preserve"> </w:t>
      </w:r>
      <w:r>
        <w:t>F</w:t>
      </w:r>
      <w:r w:rsidRPr="00A52931">
        <w:t xml:space="preserve">railty </w:t>
      </w:r>
      <w:r>
        <w:t>S</w:t>
      </w:r>
      <w:r w:rsidRPr="00A52931">
        <w:t>core</w:t>
      </w:r>
      <w:r>
        <w:t xml:space="preserve"> </w:t>
      </w:r>
      <w:r w:rsidR="00C02E9E">
        <w:t xml:space="preserve">was </w:t>
      </w:r>
      <w:proofErr w:type="gramStart"/>
      <w:r w:rsidR="00C02E9E">
        <w:t>formulated</w:t>
      </w:r>
      <w:proofErr w:type="gramEnd"/>
      <w:r w:rsidR="00C02E9E">
        <w:t xml:space="preserve"> and the score was found to correctly predict adverse outcomes post-surgery in terms of mortality, readmission rates and discharge into care facility. The preliminary results were presented at the Vascular Societies’ Annual Scientific Meeting, UK and won a national prize at the meeting. </w:t>
      </w:r>
    </w:p>
    <w:p w14:paraId="29EFCAB2" w14:textId="1F8E557C" w:rsidR="00AE3E37" w:rsidRPr="00206C50" w:rsidRDefault="00A9710C" w:rsidP="00206C50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0B71C5" w:rsidRPr="00E25ADC">
          <w:rPr>
            <w:rStyle w:val="Hyperlink"/>
            <w:rFonts w:ascii="Arial"/>
            <w:sz w:val="14"/>
          </w:rPr>
          <w:t>ak921@cam.ac.uk</w:t>
        </w:r>
      </w:hyperlink>
      <w:r w:rsidR="00292ED9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10A33F9" wp14:editId="3F78B79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0192B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4623894B" w14:textId="32723789" w:rsidR="00AE3E37" w:rsidRPr="00206C50" w:rsidRDefault="00A9710C" w:rsidP="00206C50">
      <w:pPr>
        <w:spacing w:before="39"/>
        <w:ind w:left="100"/>
        <w:rPr>
          <w:rFonts w:ascii="Minion Pro"/>
          <w:b/>
          <w:sz w:val="20"/>
        </w:rPr>
        <w:sectPr w:rsidR="00AE3E37" w:rsidRPr="00206C50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14:paraId="5C56C9CD" w14:textId="50AA2C00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F21385" w14:textId="77777777" w:rsidR="00A87E7A" w:rsidRDefault="00A87E7A">
      <w:r>
        <w:separator/>
      </w:r>
    </w:p>
  </w:endnote>
  <w:endnote w:type="continuationSeparator" w:id="0">
    <w:p w14:paraId="7FA44727" w14:textId="77777777" w:rsidR="00A87E7A" w:rsidRDefault="00A87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8C05FD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B1358A1" wp14:editId="2BE2DDC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F3DA7A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F1160E6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1358A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3DF3DA7A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F1160E6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37C5857" wp14:editId="4455CF1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EB377B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5BC2ADF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7C5857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07EB377B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5BC2ADF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AF62B6D" wp14:editId="40ECC36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FB690E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9FA2A8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F62B6D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7AFB690E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9FA2A8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78E906" w14:textId="77777777" w:rsidR="00A87E7A" w:rsidRDefault="00A87E7A">
      <w:r>
        <w:separator/>
      </w:r>
    </w:p>
  </w:footnote>
  <w:footnote w:type="continuationSeparator" w:id="0">
    <w:p w14:paraId="1D01C82E" w14:textId="77777777" w:rsidR="00A87E7A" w:rsidRDefault="00A87E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B51EB9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D477E1C" wp14:editId="6ABDDBF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11E35F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477E1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5611E35F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0ACDD91" wp14:editId="52BCABB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92B5FC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05C3CE5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ACDD91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1D92B5FC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05C3CE5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73286"/>
    <w:multiLevelType w:val="hybridMultilevel"/>
    <w:tmpl w:val="194E4D3C"/>
    <w:lvl w:ilvl="0" w:tplc="4F40D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A480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EAEB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87AF6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8E11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6C28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9C33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40B6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127F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B71C5"/>
    <w:rsid w:val="000E2911"/>
    <w:rsid w:val="001263DF"/>
    <w:rsid w:val="00206C50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8A08B6"/>
    <w:rsid w:val="009B2D44"/>
    <w:rsid w:val="00A07E82"/>
    <w:rsid w:val="00A87E7A"/>
    <w:rsid w:val="00A9710C"/>
    <w:rsid w:val="00AA62C0"/>
    <w:rsid w:val="00AE3E37"/>
    <w:rsid w:val="00B21A57"/>
    <w:rsid w:val="00C02E9E"/>
    <w:rsid w:val="00C33602"/>
    <w:rsid w:val="00CD6F55"/>
    <w:rsid w:val="00DE3104"/>
    <w:rsid w:val="00E26B10"/>
    <w:rsid w:val="00E70F23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5F25E7"/>
  <w15:docId w15:val="{DE7537E7-7D8B-4575-8439-6D2871FE2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A62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 w:bidi="ta-IN"/>
    </w:rPr>
  </w:style>
  <w:style w:type="paragraph" w:styleId="NoSpacing">
    <w:name w:val="No Spacing"/>
    <w:uiPriority w:val="1"/>
    <w:qFormat/>
    <w:rsid w:val="00AA62C0"/>
    <w:rPr>
      <w:rFonts w:ascii="Tw Cen MT" w:eastAsia="Tw Cen MT" w:hAnsi="Tw Cen MT" w:cs="Tw Cen MT"/>
    </w:rPr>
  </w:style>
  <w:style w:type="character" w:styleId="UnresolvedMention">
    <w:name w:val="Unresolved Mention"/>
    <w:basedOn w:val="DefaultParagraphFont"/>
    <w:uiPriority w:val="99"/>
    <w:semiHidden/>
    <w:unhideWhenUsed/>
    <w:rsid w:val="000B71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k921@cam.ac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30AFD-A643-4B15-8802-A18C06953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alekhya kotta</cp:lastModifiedBy>
  <cp:revision>4</cp:revision>
  <dcterms:created xsi:type="dcterms:W3CDTF">2019-04-16T21:37:00Z</dcterms:created>
  <dcterms:modified xsi:type="dcterms:W3CDTF">2019-04-16T21:39:00Z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