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34A9" w:rsidRPr="009D34A9" w:rsidRDefault="009D34A9" w:rsidP="009D34A9">
      <w:pPr>
        <w:pStyle w:val="Heading1"/>
        <w:spacing w:after="120" w:line="360" w:lineRule="auto"/>
        <w:jc w:val="center"/>
        <w:rPr>
          <w:rFonts w:asciiTheme="majorBidi" w:hAnsiTheme="majorBidi" w:cstheme="majorBidi"/>
          <w:color w:val="000000" w:themeColor="text1"/>
          <w:sz w:val="24"/>
          <w:szCs w:val="24"/>
          <w:rtl/>
          <w:lang w:bidi="fa-IR"/>
        </w:rPr>
      </w:pPr>
      <w:r w:rsidRPr="009D34A9">
        <w:rPr>
          <w:rFonts w:asciiTheme="majorBidi" w:hAnsiTheme="majorBidi" w:cstheme="majorBidi"/>
          <w:color w:val="000000" w:themeColor="text1"/>
          <w:sz w:val="24"/>
          <w:szCs w:val="24"/>
        </w:rPr>
        <w:t>Assessment of the efficacy of Self-review technique in quality of life and self-efficacy in Patients with Multiple Sclerosis (MS)</w:t>
      </w:r>
    </w:p>
    <w:p w:rsidR="009D34A9" w:rsidRPr="009D34A9" w:rsidRDefault="009D34A9" w:rsidP="009D34A9">
      <w:pPr>
        <w:pStyle w:val="Heading1"/>
        <w:spacing w:before="0" w:line="240" w:lineRule="auto"/>
        <w:jc w:val="both"/>
        <w:rPr>
          <w:rFonts w:asciiTheme="majorBidi" w:hAnsiTheme="majorBidi" w:cstheme="majorBidi"/>
          <w:b w:val="0"/>
          <w:bCs w:val="0"/>
          <w:color w:val="000000" w:themeColor="text1"/>
          <w:sz w:val="24"/>
          <w:szCs w:val="24"/>
        </w:rPr>
      </w:pPr>
      <w:r w:rsidRPr="009D34A9">
        <w:rPr>
          <w:rFonts w:asciiTheme="majorBidi" w:hAnsiTheme="majorBidi" w:cstheme="majorBidi"/>
          <w:b w:val="0"/>
          <w:bCs w:val="0"/>
          <w:color w:val="000000" w:themeColor="text1"/>
          <w:sz w:val="24"/>
          <w:szCs w:val="24"/>
        </w:rPr>
        <w:t>Reza Pourhosein</w:t>
      </w:r>
      <w:r w:rsidRPr="009D34A9">
        <w:rPr>
          <w:rStyle w:val="FootnoteReference"/>
          <w:rFonts w:asciiTheme="majorBidi" w:hAnsiTheme="majorBidi" w:cstheme="majorBidi"/>
          <w:b w:val="0"/>
          <w:bCs w:val="0"/>
          <w:color w:val="000000" w:themeColor="text1"/>
          <w:sz w:val="24"/>
          <w:szCs w:val="24"/>
        </w:rPr>
        <w:footnoteReference w:id="1"/>
      </w:r>
    </w:p>
    <w:p w:rsidR="009D34A9" w:rsidRPr="009D34A9" w:rsidRDefault="009D34A9" w:rsidP="009D34A9">
      <w:pPr>
        <w:pStyle w:val="Heading1"/>
        <w:spacing w:before="0" w:line="240" w:lineRule="auto"/>
        <w:jc w:val="both"/>
        <w:rPr>
          <w:rFonts w:asciiTheme="majorBidi" w:hAnsiTheme="majorBidi" w:cstheme="majorBidi"/>
          <w:b w:val="0"/>
          <w:bCs w:val="0"/>
          <w:color w:val="000000" w:themeColor="text1"/>
          <w:sz w:val="24"/>
          <w:szCs w:val="24"/>
        </w:rPr>
      </w:pPr>
      <w:proofErr w:type="spellStart"/>
      <w:r w:rsidRPr="009D34A9">
        <w:rPr>
          <w:rFonts w:asciiTheme="majorBidi" w:hAnsiTheme="majorBidi" w:cstheme="majorBidi"/>
          <w:b w:val="0"/>
          <w:bCs w:val="0"/>
          <w:color w:val="000000" w:themeColor="text1"/>
          <w:sz w:val="24"/>
          <w:szCs w:val="24"/>
        </w:rPr>
        <w:t>Mahsa</w:t>
      </w:r>
      <w:proofErr w:type="spellEnd"/>
      <w:r w:rsidRPr="009D34A9">
        <w:rPr>
          <w:rFonts w:asciiTheme="majorBidi" w:hAnsiTheme="majorBidi" w:cstheme="majorBidi"/>
          <w:b w:val="0"/>
          <w:bCs w:val="0"/>
          <w:color w:val="000000" w:themeColor="text1"/>
          <w:sz w:val="24"/>
          <w:szCs w:val="24"/>
        </w:rPr>
        <w:t xml:space="preserve"> </w:t>
      </w:r>
      <w:proofErr w:type="spellStart"/>
      <w:r w:rsidRPr="009D34A9">
        <w:rPr>
          <w:rFonts w:asciiTheme="majorBidi" w:hAnsiTheme="majorBidi" w:cstheme="majorBidi"/>
          <w:b w:val="0"/>
          <w:bCs w:val="0"/>
          <w:color w:val="000000" w:themeColor="text1"/>
          <w:sz w:val="24"/>
          <w:szCs w:val="24"/>
        </w:rPr>
        <w:t>Yaghoob</w:t>
      </w:r>
      <w:proofErr w:type="spellEnd"/>
      <w:r w:rsidRPr="009D34A9">
        <w:rPr>
          <w:rFonts w:asciiTheme="majorBidi" w:hAnsiTheme="majorBidi" w:cstheme="majorBidi"/>
          <w:b w:val="0"/>
          <w:bCs w:val="0"/>
          <w:color w:val="000000" w:themeColor="text1"/>
          <w:sz w:val="24"/>
          <w:szCs w:val="24"/>
        </w:rPr>
        <w:t xml:space="preserve"> Rad</w:t>
      </w:r>
      <w:r w:rsidRPr="009D34A9">
        <w:rPr>
          <w:rStyle w:val="FootnoteReference"/>
          <w:rFonts w:asciiTheme="majorBidi" w:hAnsiTheme="majorBidi" w:cstheme="majorBidi"/>
          <w:b w:val="0"/>
          <w:bCs w:val="0"/>
          <w:color w:val="000000" w:themeColor="text1"/>
          <w:sz w:val="24"/>
          <w:szCs w:val="24"/>
        </w:rPr>
        <w:footnoteReference w:id="2"/>
      </w:r>
    </w:p>
    <w:p w:rsidR="009D34A9" w:rsidRPr="009D34A9" w:rsidRDefault="009D34A9" w:rsidP="009D34A9">
      <w:pPr>
        <w:pStyle w:val="Heading1"/>
        <w:spacing w:before="0" w:line="240" w:lineRule="auto"/>
        <w:jc w:val="both"/>
        <w:rPr>
          <w:rFonts w:asciiTheme="majorBidi" w:hAnsiTheme="majorBidi" w:cstheme="majorBidi"/>
          <w:color w:val="000000" w:themeColor="text1"/>
          <w:sz w:val="24"/>
          <w:szCs w:val="24"/>
        </w:rPr>
      </w:pPr>
      <w:proofErr w:type="spellStart"/>
      <w:r w:rsidRPr="009D34A9">
        <w:rPr>
          <w:rFonts w:asciiTheme="majorBidi" w:hAnsiTheme="majorBidi" w:cstheme="majorBidi"/>
          <w:b w:val="0"/>
          <w:bCs w:val="0"/>
          <w:color w:val="000000" w:themeColor="text1"/>
          <w:sz w:val="24"/>
          <w:szCs w:val="24"/>
        </w:rPr>
        <w:t>Masoud</w:t>
      </w:r>
      <w:proofErr w:type="spellEnd"/>
      <w:r w:rsidRPr="009D34A9">
        <w:rPr>
          <w:rFonts w:asciiTheme="majorBidi" w:hAnsiTheme="majorBidi" w:cstheme="majorBidi"/>
          <w:b w:val="0"/>
          <w:bCs w:val="0"/>
          <w:color w:val="000000" w:themeColor="text1"/>
          <w:sz w:val="24"/>
          <w:szCs w:val="24"/>
        </w:rPr>
        <w:t xml:space="preserve"> Gholamali </w:t>
      </w:r>
      <w:r w:rsidRPr="009D34A9">
        <w:rPr>
          <w:rFonts w:asciiTheme="majorBidi" w:hAnsiTheme="majorBidi" w:cstheme="majorBidi"/>
          <w:b w:val="0"/>
          <w:bCs w:val="0"/>
          <w:noProof/>
          <w:color w:val="000000" w:themeColor="text1"/>
          <w:sz w:val="24"/>
          <w:szCs w:val="24"/>
        </w:rPr>
        <w:t>lavasani</w:t>
      </w:r>
      <w:r w:rsidRPr="009D34A9">
        <w:rPr>
          <w:rStyle w:val="FootnoteReference"/>
          <w:rFonts w:asciiTheme="majorBidi" w:hAnsiTheme="majorBidi" w:cstheme="majorBidi"/>
          <w:b w:val="0"/>
          <w:bCs w:val="0"/>
          <w:noProof/>
          <w:color w:val="000000" w:themeColor="text1"/>
          <w:sz w:val="24"/>
          <w:szCs w:val="24"/>
        </w:rPr>
        <w:footnoteReference w:id="3"/>
      </w:r>
      <w:r w:rsidRPr="009D34A9">
        <w:rPr>
          <w:rFonts w:asciiTheme="majorBidi" w:hAnsiTheme="majorBidi" w:cstheme="majorBidi"/>
          <w:b w:val="0"/>
          <w:bCs w:val="0"/>
          <w:color w:val="000000" w:themeColor="text1"/>
          <w:sz w:val="24"/>
          <w:szCs w:val="24"/>
        </w:rPr>
        <w:tab/>
      </w:r>
      <w:r w:rsidRPr="009D34A9">
        <w:rPr>
          <w:rFonts w:asciiTheme="majorBidi" w:hAnsiTheme="majorBidi" w:cstheme="majorBidi"/>
          <w:color w:val="000000" w:themeColor="text1"/>
          <w:sz w:val="24"/>
          <w:szCs w:val="24"/>
        </w:rPr>
        <w:tab/>
      </w:r>
      <w:r w:rsidRPr="009D34A9">
        <w:rPr>
          <w:rFonts w:asciiTheme="majorBidi" w:hAnsiTheme="majorBidi" w:cstheme="majorBidi"/>
          <w:color w:val="000000" w:themeColor="text1"/>
          <w:sz w:val="24"/>
          <w:szCs w:val="24"/>
        </w:rPr>
        <w:tab/>
      </w:r>
      <w:r w:rsidRPr="009D34A9">
        <w:rPr>
          <w:rFonts w:asciiTheme="majorBidi" w:hAnsiTheme="majorBidi" w:cstheme="majorBidi"/>
          <w:color w:val="000000" w:themeColor="text1"/>
          <w:sz w:val="24"/>
          <w:szCs w:val="24"/>
        </w:rPr>
        <w:tab/>
      </w:r>
      <w:r w:rsidRPr="009D34A9">
        <w:rPr>
          <w:rFonts w:asciiTheme="majorBidi" w:hAnsiTheme="majorBidi" w:cstheme="majorBidi"/>
          <w:color w:val="000000" w:themeColor="text1"/>
          <w:sz w:val="24"/>
          <w:szCs w:val="24"/>
        </w:rPr>
        <w:tab/>
      </w:r>
    </w:p>
    <w:p w:rsidR="009D34A9" w:rsidRPr="009D34A9" w:rsidRDefault="009D34A9" w:rsidP="009D34A9">
      <w:pPr>
        <w:pStyle w:val="Heading1"/>
        <w:spacing w:line="240" w:lineRule="auto"/>
        <w:rPr>
          <w:rFonts w:asciiTheme="majorBidi" w:hAnsiTheme="majorBidi" w:cstheme="majorBidi"/>
          <w:color w:val="000000" w:themeColor="text1"/>
          <w:sz w:val="24"/>
          <w:szCs w:val="24"/>
        </w:rPr>
      </w:pPr>
    </w:p>
    <w:p w:rsidR="009D34A9" w:rsidRPr="009D34A9" w:rsidRDefault="009D34A9" w:rsidP="009D34A9">
      <w:pPr>
        <w:pStyle w:val="Heading1"/>
        <w:spacing w:line="240" w:lineRule="auto"/>
        <w:rPr>
          <w:rFonts w:asciiTheme="majorBidi" w:hAnsiTheme="majorBidi" w:cstheme="majorBidi"/>
          <w:color w:val="000000" w:themeColor="text1"/>
          <w:sz w:val="24"/>
          <w:szCs w:val="24"/>
        </w:rPr>
      </w:pPr>
      <w:r w:rsidRPr="009D34A9">
        <w:rPr>
          <w:rFonts w:asciiTheme="majorBidi" w:hAnsiTheme="majorBidi" w:cstheme="majorBidi"/>
          <w:color w:val="000000" w:themeColor="text1"/>
          <w:sz w:val="24"/>
          <w:szCs w:val="24"/>
        </w:rPr>
        <w:t>Abstract</w:t>
      </w:r>
    </w:p>
    <w:p w:rsidR="009D34A9" w:rsidRPr="009D34A9" w:rsidRDefault="009D34A9" w:rsidP="009D34A9">
      <w:pPr>
        <w:pStyle w:val="Heading1"/>
        <w:spacing w:before="0" w:line="240" w:lineRule="auto"/>
        <w:rPr>
          <w:rFonts w:asciiTheme="majorBidi" w:hAnsiTheme="majorBidi" w:cstheme="majorBidi"/>
          <w:b w:val="0"/>
          <w:bCs w:val="0"/>
          <w:color w:val="000000" w:themeColor="text1"/>
          <w:sz w:val="24"/>
          <w:szCs w:val="24"/>
        </w:rPr>
      </w:pPr>
      <w:r w:rsidRPr="009D34A9">
        <w:rPr>
          <w:rFonts w:asciiTheme="majorBidi" w:hAnsiTheme="majorBidi" w:cstheme="majorBidi"/>
          <w:b w:val="0"/>
          <w:bCs w:val="0"/>
          <w:color w:val="000000" w:themeColor="text1"/>
          <w:sz w:val="24"/>
          <w:szCs w:val="24"/>
        </w:rPr>
        <w:t xml:space="preserve">Due to </w:t>
      </w:r>
      <w:r w:rsidRPr="009D34A9">
        <w:rPr>
          <w:rFonts w:asciiTheme="majorBidi" w:hAnsiTheme="majorBidi" w:cstheme="majorBidi"/>
          <w:b w:val="0"/>
          <w:bCs w:val="0"/>
          <w:noProof/>
          <w:color w:val="000000" w:themeColor="text1"/>
          <w:sz w:val="24"/>
          <w:szCs w:val="24"/>
        </w:rPr>
        <w:t>the high</w:t>
      </w:r>
      <w:r w:rsidRPr="009D34A9">
        <w:rPr>
          <w:rFonts w:asciiTheme="majorBidi" w:hAnsiTheme="majorBidi" w:cstheme="majorBidi"/>
          <w:b w:val="0"/>
          <w:bCs w:val="0"/>
          <w:color w:val="000000" w:themeColor="text1"/>
          <w:sz w:val="24"/>
          <w:szCs w:val="24"/>
        </w:rPr>
        <w:t xml:space="preserve"> prevalence of Multiple Sclerosis in the country and mental and physical constraints resulting from it, applying psychological interventions to adjust and improve the restrictions imposed in the lives of patients who are </w:t>
      </w:r>
      <w:r w:rsidRPr="009D34A9">
        <w:rPr>
          <w:rFonts w:asciiTheme="majorBidi" w:hAnsiTheme="majorBidi" w:cstheme="majorBidi"/>
          <w:b w:val="0"/>
          <w:bCs w:val="0"/>
          <w:color w:val="000000" w:themeColor="text1"/>
          <w:sz w:val="24"/>
          <w:szCs w:val="24"/>
          <w:lang w:val="en"/>
        </w:rPr>
        <w:t xml:space="preserve">often in a young age group (with an average age of 20-40), </w:t>
      </w:r>
      <w:r w:rsidRPr="009D34A9">
        <w:rPr>
          <w:rFonts w:asciiTheme="majorBidi" w:hAnsiTheme="majorBidi" w:cstheme="majorBidi"/>
          <w:b w:val="0"/>
          <w:bCs w:val="0"/>
          <w:color w:val="000000" w:themeColor="text1"/>
          <w:sz w:val="24"/>
          <w:szCs w:val="24"/>
        </w:rPr>
        <w:t>seems essential. Although MS is a progressive autoimmune disease, its mental symptoms can affect many aspects of life. This</w:t>
      </w:r>
      <w:bookmarkStart w:id="0" w:name="_GoBack"/>
      <w:bookmarkEnd w:id="0"/>
      <w:r w:rsidRPr="009D34A9">
        <w:rPr>
          <w:rFonts w:asciiTheme="majorBidi" w:hAnsiTheme="majorBidi" w:cstheme="majorBidi"/>
          <w:b w:val="0"/>
          <w:bCs w:val="0"/>
          <w:color w:val="000000" w:themeColor="text1"/>
          <w:sz w:val="24"/>
          <w:szCs w:val="24"/>
        </w:rPr>
        <w:t xml:space="preserve"> study evaluates the effectiveness of the Self-review” technique as a cognitive intervention in improving efficacy and quality of life in patients with MS in a semi-experimental design with control and experimental group, consist of pre, and post-testing 26 members of </w:t>
      </w:r>
      <w:r w:rsidRPr="009D34A9">
        <w:rPr>
          <w:rFonts w:asciiTheme="majorBidi" w:hAnsiTheme="majorBidi" w:cstheme="majorBidi"/>
          <w:b w:val="0"/>
          <w:bCs w:val="0"/>
          <w:noProof/>
          <w:color w:val="000000" w:themeColor="text1"/>
          <w:sz w:val="24"/>
          <w:szCs w:val="24"/>
        </w:rPr>
        <w:t>the MS</w:t>
      </w:r>
      <w:r w:rsidRPr="009D34A9">
        <w:rPr>
          <w:rFonts w:asciiTheme="majorBidi" w:hAnsiTheme="majorBidi" w:cstheme="majorBidi"/>
          <w:b w:val="0"/>
          <w:bCs w:val="0"/>
          <w:color w:val="000000" w:themeColor="text1"/>
          <w:sz w:val="24"/>
          <w:szCs w:val="24"/>
        </w:rPr>
        <w:t xml:space="preserve"> society of Iran (12 women, 14 men) were selected through convenience sampling and were divided into control and experimental groups by accident (each group containing 13 subjects). After responding to MS self-efficacy scale (MSSS) and MS quality of life scale (MSQOL-54), </w:t>
      </w:r>
      <w:r w:rsidRPr="009D34A9">
        <w:rPr>
          <w:rFonts w:asciiTheme="majorBidi" w:hAnsiTheme="majorBidi" w:cstheme="majorBidi"/>
          <w:b w:val="0"/>
          <w:bCs w:val="0"/>
          <w:noProof/>
          <w:color w:val="000000" w:themeColor="text1"/>
          <w:sz w:val="24"/>
          <w:szCs w:val="24"/>
        </w:rPr>
        <w:t>the experimental</w:t>
      </w:r>
      <w:r w:rsidRPr="009D34A9">
        <w:rPr>
          <w:rFonts w:asciiTheme="majorBidi" w:hAnsiTheme="majorBidi" w:cstheme="majorBidi"/>
          <w:b w:val="0"/>
          <w:bCs w:val="0"/>
          <w:color w:val="000000" w:themeColor="text1"/>
          <w:sz w:val="24"/>
          <w:szCs w:val="24"/>
        </w:rPr>
        <w:t xml:space="preserve"> group received therapy sessions based on “</w:t>
      </w:r>
      <w:r w:rsidRPr="009D34A9">
        <w:rPr>
          <w:rFonts w:asciiTheme="majorBidi" w:hAnsiTheme="majorBidi" w:cstheme="majorBidi"/>
          <w:b w:val="0"/>
          <w:bCs w:val="0"/>
          <w:noProof/>
          <w:color w:val="000000" w:themeColor="text1"/>
          <w:sz w:val="24"/>
          <w:szCs w:val="24"/>
        </w:rPr>
        <w:t>Self-review</w:t>
      </w:r>
      <w:r w:rsidRPr="009D34A9">
        <w:rPr>
          <w:rFonts w:asciiTheme="majorBidi" w:hAnsiTheme="majorBidi" w:cstheme="majorBidi"/>
          <w:b w:val="0"/>
          <w:bCs w:val="0"/>
          <w:color w:val="000000" w:themeColor="text1"/>
          <w:sz w:val="24"/>
          <w:szCs w:val="24"/>
        </w:rPr>
        <w:t xml:space="preserve"> technique” for about 3-4 weeks. Every week consists of one therapy session with the duration of sixty to ninety minutes. Control group did not receive cognitive therapy. The results show </w:t>
      </w:r>
      <w:r w:rsidRPr="009D34A9">
        <w:rPr>
          <w:rFonts w:asciiTheme="majorBidi" w:hAnsiTheme="majorBidi" w:cstheme="majorBidi"/>
          <w:b w:val="0"/>
          <w:bCs w:val="0"/>
          <w:noProof/>
          <w:color w:val="000000" w:themeColor="text1"/>
          <w:sz w:val="24"/>
          <w:szCs w:val="24"/>
        </w:rPr>
        <w:t>a meaningful</w:t>
      </w:r>
      <w:r w:rsidRPr="009D34A9">
        <w:rPr>
          <w:rFonts w:asciiTheme="majorBidi" w:hAnsiTheme="majorBidi" w:cstheme="majorBidi"/>
          <w:b w:val="0"/>
          <w:bCs w:val="0"/>
          <w:color w:val="000000" w:themeColor="text1"/>
          <w:sz w:val="24"/>
          <w:szCs w:val="24"/>
        </w:rPr>
        <w:t xml:space="preserve"> reduction in depression and meaningful changes in self-efficacy and quality of life in patients with MS who have been subject to the therapy sessions.</w:t>
      </w:r>
    </w:p>
    <w:p w:rsidR="009D34A9" w:rsidRPr="009D34A9" w:rsidRDefault="009D34A9" w:rsidP="009D34A9">
      <w:pPr>
        <w:pStyle w:val="Heading1"/>
        <w:spacing w:after="120" w:line="360" w:lineRule="auto"/>
        <w:rPr>
          <w:rFonts w:asciiTheme="majorBidi" w:hAnsiTheme="majorBidi" w:cstheme="majorBidi"/>
          <w:b w:val="0"/>
          <w:bCs w:val="0"/>
          <w:color w:val="000000" w:themeColor="text1"/>
          <w:sz w:val="24"/>
          <w:szCs w:val="24"/>
        </w:rPr>
      </w:pPr>
      <w:r w:rsidRPr="009D34A9">
        <w:rPr>
          <w:rFonts w:asciiTheme="majorBidi" w:hAnsiTheme="majorBidi" w:cstheme="majorBidi"/>
          <w:color w:val="000000" w:themeColor="text1"/>
          <w:sz w:val="24"/>
          <w:szCs w:val="24"/>
        </w:rPr>
        <w:t xml:space="preserve">Key Words: </w:t>
      </w:r>
      <w:r w:rsidRPr="009D34A9">
        <w:rPr>
          <w:rFonts w:asciiTheme="majorBidi" w:hAnsiTheme="majorBidi" w:cstheme="majorBidi"/>
          <w:b w:val="0"/>
          <w:bCs w:val="0"/>
          <w:color w:val="000000" w:themeColor="text1"/>
          <w:sz w:val="24"/>
          <w:szCs w:val="24"/>
        </w:rPr>
        <w:t>multiple Sclerosis, self-efficacy, Quality of life, Self-review technique</w:t>
      </w:r>
    </w:p>
    <w:sectPr w:rsidR="009D34A9" w:rsidRPr="009D34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4A9" w:rsidRDefault="009D34A9" w:rsidP="009D34A9">
      <w:pPr>
        <w:spacing w:after="0" w:line="240" w:lineRule="auto"/>
      </w:pPr>
      <w:r>
        <w:separator/>
      </w:r>
    </w:p>
  </w:endnote>
  <w:endnote w:type="continuationSeparator" w:id="0">
    <w:p w:rsidR="009D34A9" w:rsidRDefault="009D34A9" w:rsidP="009D3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4A9" w:rsidRDefault="009D34A9" w:rsidP="009D34A9">
      <w:pPr>
        <w:spacing w:after="0" w:line="240" w:lineRule="auto"/>
      </w:pPr>
      <w:r>
        <w:separator/>
      </w:r>
    </w:p>
  </w:footnote>
  <w:footnote w:type="continuationSeparator" w:id="0">
    <w:p w:rsidR="009D34A9" w:rsidRDefault="009D34A9" w:rsidP="009D34A9">
      <w:pPr>
        <w:spacing w:after="0" w:line="240" w:lineRule="auto"/>
      </w:pPr>
      <w:r>
        <w:continuationSeparator/>
      </w:r>
    </w:p>
  </w:footnote>
  <w:footnote w:id="1">
    <w:p w:rsidR="009D34A9" w:rsidRDefault="009D34A9" w:rsidP="009D34A9">
      <w:pPr>
        <w:pStyle w:val="FootnoteText"/>
        <w:bidi w:val="0"/>
      </w:pPr>
      <w:r>
        <w:rPr>
          <w:rStyle w:val="FootnoteReference"/>
        </w:rPr>
        <w:footnoteRef/>
      </w:r>
      <w:r>
        <w:rPr>
          <w:rtl/>
        </w:rPr>
        <w:t xml:space="preserve"> </w:t>
      </w:r>
      <w:r>
        <w:t xml:space="preserve">Associate Professor of Psychology, University of Tehran, Iran, Correspondence Author, Email: prhosein@ut.ac.ir </w:t>
      </w:r>
    </w:p>
  </w:footnote>
  <w:footnote w:id="2">
    <w:p w:rsidR="009D34A9" w:rsidRDefault="009D34A9" w:rsidP="009D34A9">
      <w:pPr>
        <w:pStyle w:val="FootnoteText"/>
        <w:bidi w:val="0"/>
      </w:pPr>
      <w:r>
        <w:rPr>
          <w:rStyle w:val="FootnoteReference"/>
        </w:rPr>
        <w:footnoteRef/>
      </w:r>
      <w:r>
        <w:rPr>
          <w:rtl/>
        </w:rPr>
        <w:t xml:space="preserve"> </w:t>
      </w:r>
      <w:r>
        <w:t>PhD student in Psychology, University of Tarbiat Modarres, Tehran, Iran.</w:t>
      </w:r>
    </w:p>
    <w:p w:rsidR="009D34A9" w:rsidRDefault="009D34A9" w:rsidP="009D34A9">
      <w:pPr>
        <w:pStyle w:val="FootnoteText"/>
        <w:bidi w:val="0"/>
      </w:pPr>
    </w:p>
  </w:footnote>
  <w:footnote w:id="3">
    <w:p w:rsidR="009D34A9" w:rsidRDefault="009D34A9" w:rsidP="009D34A9">
      <w:pPr>
        <w:pStyle w:val="FootnoteText"/>
        <w:bidi w:val="0"/>
        <w:rPr>
          <w:lang w:bidi="fa-IR"/>
        </w:rPr>
      </w:pPr>
      <w:r>
        <w:rPr>
          <w:rStyle w:val="FootnoteReference"/>
        </w:rPr>
        <w:footnoteRef/>
      </w:r>
      <w:r>
        <w:rPr>
          <w:rtl/>
        </w:rPr>
        <w:t xml:space="preserve"> </w:t>
      </w:r>
      <w:r w:rsidRPr="009209F6">
        <w:rPr>
          <w:lang w:bidi="fa-IR"/>
        </w:rPr>
        <w:t>Associate Professor of Psychology, University of Tehran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jUyNDYzMDAwMTBQ0lEKTi0uzszPAykwrAUAM3tEhSwAAAA="/>
  </w:docVars>
  <w:rsids>
    <w:rsidRoot w:val="009D34A9"/>
    <w:rsid w:val="009D34A9"/>
    <w:rsid w:val="00FD10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3A1B5E-4656-4DAE-A681-54D00B9C9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34A9"/>
    <w:pPr>
      <w:keepNext/>
      <w:keepLines/>
      <w:spacing w:before="480" w:after="0" w:line="276" w:lineRule="auto"/>
      <w:outlineLvl w:val="0"/>
    </w:pPr>
    <w:rPr>
      <w:rFonts w:ascii="Cambria" w:eastAsia="Times New Roman" w:hAnsi="Cambria" w:cs="Times New Roman"/>
      <w:b/>
      <w:bCs/>
      <w:color w:val="365F91"/>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34A9"/>
    <w:rPr>
      <w:rFonts w:ascii="Cambria" w:eastAsia="Times New Roman" w:hAnsi="Cambria" w:cs="Times New Roman"/>
      <w:b/>
      <w:bCs/>
      <w:color w:val="365F91"/>
      <w:sz w:val="28"/>
      <w:szCs w:val="28"/>
      <w:lang w:eastAsia="ja-JP"/>
    </w:rPr>
  </w:style>
  <w:style w:type="character" w:styleId="FootnoteReference">
    <w:name w:val="footnote reference"/>
    <w:aliases w:val="شماره زيرنويس"/>
    <w:uiPriority w:val="99"/>
    <w:unhideWhenUsed/>
    <w:rsid w:val="009D34A9"/>
    <w:rPr>
      <w:vertAlign w:val="superscript"/>
    </w:rPr>
  </w:style>
  <w:style w:type="paragraph" w:styleId="FootnoteText">
    <w:name w:val="footnote text"/>
    <w:basedOn w:val="Normal"/>
    <w:link w:val="FootnoteTextChar"/>
    <w:uiPriority w:val="99"/>
    <w:semiHidden/>
    <w:unhideWhenUsed/>
    <w:rsid w:val="009D34A9"/>
    <w:pPr>
      <w:bidi/>
      <w:spacing w:after="0" w:line="240" w:lineRule="auto"/>
      <w:jc w:val="lowKashida"/>
    </w:pPr>
    <w:rPr>
      <w:sz w:val="20"/>
      <w:szCs w:val="20"/>
    </w:rPr>
  </w:style>
  <w:style w:type="character" w:customStyle="1" w:styleId="FootnoteTextChar">
    <w:name w:val="Footnote Text Char"/>
    <w:basedOn w:val="DefaultParagraphFont"/>
    <w:link w:val="FootnoteText"/>
    <w:uiPriority w:val="99"/>
    <w:semiHidden/>
    <w:rsid w:val="009D34A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porhosein</dc:creator>
  <cp:keywords/>
  <dc:description/>
  <cp:lastModifiedBy>dr porhosein</cp:lastModifiedBy>
  <cp:revision>1</cp:revision>
  <dcterms:created xsi:type="dcterms:W3CDTF">2019-04-27T07:53:00Z</dcterms:created>
  <dcterms:modified xsi:type="dcterms:W3CDTF">2019-04-27T07:54:00Z</dcterms:modified>
</cp:coreProperties>
</file>