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B1334" w:rsidRPr="006B1334" w:rsidRDefault="006B1334" w:rsidP="006B1334">
      <w:pPr>
        <w:autoSpaceDE w:val="0"/>
        <w:autoSpaceDN w:val="0"/>
        <w:adjustRightInd w:val="0"/>
        <w:ind w:right="90"/>
        <w:jc w:val="both"/>
        <w:rPr>
          <w:rFonts w:ascii="Times New Roman" w:hAnsi="Times New Roman" w:cs="Times New Roman"/>
          <w:b/>
          <w:bCs/>
        </w:rPr>
      </w:pPr>
      <w:r w:rsidRPr="006B1334">
        <w:rPr>
          <w:rFonts w:ascii="Times New Roman" w:hAnsi="Times New Roman" w:cs="Times New Roman"/>
          <w:b/>
          <w:bCs/>
        </w:rPr>
        <w:t xml:space="preserve">Cell Biological Mechanisms of Blood-Brain Barrier Breakdown in </w:t>
      </w:r>
      <w:r w:rsidRPr="006B1334">
        <w:rPr>
          <w:rFonts w:ascii="Times New Roman" w:hAnsi="Times New Roman" w:cs="Times New Roman"/>
          <w:b/>
          <w:bCs/>
        </w:rPr>
        <w:t>Ischemic Stroke</w:t>
      </w:r>
    </w:p>
    <w:p w:rsidR="006B1334" w:rsidRPr="006B1334" w:rsidRDefault="006B1334" w:rsidP="006B1334">
      <w:pPr>
        <w:autoSpaceDE w:val="0"/>
        <w:autoSpaceDN w:val="0"/>
        <w:adjustRightInd w:val="0"/>
        <w:ind w:right="90"/>
        <w:jc w:val="both"/>
        <w:rPr>
          <w:rFonts w:ascii="Times New Roman" w:hAnsi="Times New Roman" w:cs="Times New Roman"/>
          <w:b/>
          <w:bCs/>
        </w:rPr>
      </w:pPr>
    </w:p>
    <w:p w:rsidR="006B1334" w:rsidRPr="006B1334" w:rsidRDefault="006B1334" w:rsidP="006B1334">
      <w:pPr>
        <w:autoSpaceDE w:val="0"/>
        <w:autoSpaceDN w:val="0"/>
        <w:adjustRightInd w:val="0"/>
        <w:ind w:right="90"/>
        <w:jc w:val="both"/>
        <w:rPr>
          <w:rFonts w:ascii="Times New Roman" w:hAnsi="Times New Roman" w:cs="Times New Roman"/>
          <w:vertAlign w:val="superscript"/>
        </w:rPr>
      </w:pPr>
      <w:r w:rsidRPr="006B1334">
        <w:rPr>
          <w:rFonts w:ascii="Times New Roman" w:hAnsi="Times New Roman" w:cs="Times New Roman"/>
          <w:u w:val="single"/>
        </w:rPr>
        <w:t>Dritan Agalliu</w:t>
      </w:r>
      <w:r w:rsidRPr="006B1334">
        <w:rPr>
          <w:rFonts w:ascii="Times New Roman" w:hAnsi="Times New Roman" w:cs="Times New Roman"/>
          <w:vertAlign w:val="superscript"/>
        </w:rPr>
        <w:t>1*</w:t>
      </w:r>
      <w:r w:rsidRPr="006B1334">
        <w:rPr>
          <w:rFonts w:ascii="Times New Roman" w:hAnsi="Times New Roman" w:cs="Times New Roman"/>
        </w:rPr>
        <w:t xml:space="preserve">, </w:t>
      </w:r>
      <w:proofErr w:type="spellStart"/>
      <w:r w:rsidRPr="006B1334">
        <w:rPr>
          <w:rFonts w:ascii="Times New Roman" w:hAnsi="Times New Roman" w:cs="Times New Roman"/>
        </w:rPr>
        <w:t>Azzurra</w:t>
      </w:r>
      <w:proofErr w:type="spellEnd"/>
      <w:r w:rsidRPr="006B1334">
        <w:rPr>
          <w:rFonts w:ascii="Times New Roman" w:hAnsi="Times New Roman" w:cs="Times New Roman"/>
        </w:rPr>
        <w:t xml:space="preserve"> Cottarelli</w:t>
      </w:r>
      <w:r w:rsidRPr="006B1334">
        <w:rPr>
          <w:rFonts w:ascii="Times New Roman" w:hAnsi="Times New Roman" w:cs="Times New Roman"/>
          <w:vertAlign w:val="superscript"/>
        </w:rPr>
        <w:t>1</w:t>
      </w:r>
      <w:r w:rsidRPr="006B1334">
        <w:rPr>
          <w:rFonts w:ascii="Times New Roman" w:hAnsi="Times New Roman" w:cs="Times New Roman"/>
        </w:rPr>
        <w:t xml:space="preserve">, </w:t>
      </w:r>
      <w:proofErr w:type="spellStart"/>
      <w:r w:rsidRPr="006B1334">
        <w:rPr>
          <w:rFonts w:ascii="Times New Roman" w:hAnsi="Times New Roman" w:cs="Times New Roman"/>
        </w:rPr>
        <w:t>Sanjid</w:t>
      </w:r>
      <w:proofErr w:type="spellEnd"/>
      <w:r w:rsidRPr="006B1334">
        <w:rPr>
          <w:rFonts w:ascii="Times New Roman" w:hAnsi="Times New Roman" w:cs="Times New Roman"/>
        </w:rPr>
        <w:t xml:space="preserve"> Shahriar</w:t>
      </w:r>
      <w:r w:rsidRPr="006B1334">
        <w:rPr>
          <w:rFonts w:ascii="Times New Roman" w:hAnsi="Times New Roman" w:cs="Times New Roman"/>
          <w:vertAlign w:val="superscript"/>
        </w:rPr>
        <w:t>1</w:t>
      </w:r>
      <w:r w:rsidRPr="006B1334">
        <w:rPr>
          <w:rFonts w:ascii="Times New Roman" w:hAnsi="Times New Roman" w:cs="Times New Roman"/>
        </w:rPr>
        <w:t xml:space="preserve">, </w:t>
      </w:r>
      <w:r>
        <w:rPr>
          <w:rFonts w:ascii="Times New Roman" w:hAnsi="Times New Roman" w:cs="Times New Roman"/>
        </w:rPr>
        <w:t>Jason Neal</w:t>
      </w:r>
      <w:r w:rsidRPr="006B1334">
        <w:rPr>
          <w:rFonts w:ascii="Times New Roman" w:hAnsi="Times New Roman" w:cs="Times New Roman"/>
          <w:vertAlign w:val="superscript"/>
        </w:rPr>
        <w:t>1</w:t>
      </w:r>
      <w:r>
        <w:rPr>
          <w:rFonts w:ascii="Times New Roman" w:hAnsi="Times New Roman" w:cs="Times New Roman"/>
        </w:rPr>
        <w:t xml:space="preserve">, </w:t>
      </w:r>
      <w:r w:rsidRPr="006B1334">
        <w:rPr>
          <w:rFonts w:ascii="Times New Roman" w:hAnsi="Times New Roman" w:cs="Times New Roman"/>
        </w:rPr>
        <w:t>Ahmet Arac</w:t>
      </w:r>
      <w:r w:rsidRPr="006B1334">
        <w:rPr>
          <w:rFonts w:ascii="Times New Roman" w:hAnsi="Times New Roman" w:cs="Times New Roman"/>
          <w:vertAlign w:val="superscript"/>
        </w:rPr>
        <w:t>2</w:t>
      </w:r>
      <w:r w:rsidRPr="006B1334">
        <w:rPr>
          <w:rFonts w:ascii="Times New Roman" w:hAnsi="Times New Roman" w:cs="Times New Roman"/>
        </w:rPr>
        <w:t>, Martin Hsu</w:t>
      </w:r>
      <w:r>
        <w:rPr>
          <w:rFonts w:ascii="Times New Roman" w:hAnsi="Times New Roman" w:cs="Times New Roman"/>
          <w:vertAlign w:val="superscript"/>
        </w:rPr>
        <w:t>3</w:t>
      </w:r>
      <w:r w:rsidRPr="006B1334">
        <w:rPr>
          <w:rFonts w:ascii="Times New Roman" w:hAnsi="Times New Roman" w:cs="Times New Roman"/>
        </w:rPr>
        <w:t xml:space="preserve"> </w:t>
      </w:r>
      <w:r w:rsidRPr="006B1334">
        <w:rPr>
          <w:rFonts w:ascii="Times New Roman" w:hAnsi="Times New Roman" w:cs="Times New Roman"/>
        </w:rPr>
        <w:t>and Aimee Edinger</w:t>
      </w:r>
      <w:r>
        <w:rPr>
          <w:rFonts w:ascii="Times New Roman" w:hAnsi="Times New Roman" w:cs="Times New Roman"/>
          <w:vertAlign w:val="superscript"/>
        </w:rPr>
        <w:t>4</w:t>
      </w:r>
      <w:r w:rsidRPr="006B1334">
        <w:rPr>
          <w:rFonts w:ascii="Times New Roman" w:hAnsi="Times New Roman" w:cs="Times New Roman"/>
          <w:vertAlign w:val="superscript"/>
        </w:rPr>
        <w:t xml:space="preserve"> </w:t>
      </w:r>
    </w:p>
    <w:p w:rsidR="006B1334" w:rsidRPr="006B1334" w:rsidRDefault="006B1334" w:rsidP="006B1334">
      <w:pPr>
        <w:autoSpaceDE w:val="0"/>
        <w:autoSpaceDN w:val="0"/>
        <w:adjustRightInd w:val="0"/>
        <w:ind w:right="90"/>
        <w:jc w:val="both"/>
        <w:rPr>
          <w:rFonts w:ascii="Times New Roman" w:hAnsi="Times New Roman" w:cs="Times New Roman"/>
        </w:rPr>
      </w:pPr>
      <w:r w:rsidRPr="006B1334">
        <w:rPr>
          <w:rFonts w:ascii="Times New Roman" w:hAnsi="Times New Roman" w:cs="Times New Roman"/>
        </w:rPr>
        <w:t xml:space="preserve"> </w:t>
      </w:r>
    </w:p>
    <w:p w:rsidR="006B1334" w:rsidRDefault="006B1334" w:rsidP="006B1334">
      <w:pPr>
        <w:autoSpaceDE w:val="0"/>
        <w:autoSpaceDN w:val="0"/>
        <w:adjustRightInd w:val="0"/>
        <w:ind w:right="90"/>
        <w:jc w:val="both"/>
        <w:rPr>
          <w:rFonts w:ascii="Times New Roman" w:hAnsi="Times New Roman" w:cs="Times New Roman"/>
        </w:rPr>
      </w:pPr>
      <w:r w:rsidRPr="006B1334">
        <w:rPr>
          <w:rFonts w:ascii="Times New Roman" w:hAnsi="Times New Roman" w:cs="Times New Roman"/>
          <w:vertAlign w:val="superscript"/>
        </w:rPr>
        <w:t>1</w:t>
      </w:r>
      <w:r w:rsidRPr="006B1334">
        <w:rPr>
          <w:rFonts w:ascii="Times New Roman" w:hAnsi="Times New Roman" w:cs="Times New Roman"/>
        </w:rPr>
        <w:t xml:space="preserve">Department of Neurology, Columbia University Medical Center, New York, NY 10032, USA; </w:t>
      </w:r>
    </w:p>
    <w:p w:rsidR="006B1334" w:rsidRPr="006B1334" w:rsidRDefault="006B1334" w:rsidP="006B1334">
      <w:pPr>
        <w:autoSpaceDE w:val="0"/>
        <w:autoSpaceDN w:val="0"/>
        <w:adjustRightInd w:val="0"/>
        <w:ind w:right="90"/>
        <w:jc w:val="both"/>
        <w:rPr>
          <w:rFonts w:ascii="Times New Roman" w:hAnsi="Times New Roman" w:cs="Times New Roman"/>
          <w:kern w:val="1"/>
        </w:rPr>
      </w:pPr>
      <w:r>
        <w:rPr>
          <w:rFonts w:ascii="Times New Roman" w:hAnsi="Times New Roman" w:cs="Times New Roman"/>
          <w:vertAlign w:val="superscript"/>
        </w:rPr>
        <w:t>2</w:t>
      </w:r>
      <w:r w:rsidRPr="006B1334">
        <w:rPr>
          <w:rFonts w:ascii="Times New Roman" w:hAnsi="Times New Roman" w:cs="Times New Roman"/>
        </w:rPr>
        <w:t xml:space="preserve">Department of Neurology, University of California, Los Angeles, Los Angeles, CA </w:t>
      </w:r>
      <w:r w:rsidRPr="006B1334">
        <w:rPr>
          <w:rFonts w:ascii="Times New Roman" w:hAnsi="Times New Roman" w:cs="Times New Roman"/>
          <w:color w:val="000000"/>
        </w:rPr>
        <w:t>90095</w:t>
      </w:r>
      <w:r w:rsidRPr="006B1334">
        <w:rPr>
          <w:rFonts w:ascii="Times New Roman" w:hAnsi="Times New Roman" w:cs="Times New Roman"/>
          <w:kern w:val="1"/>
        </w:rPr>
        <w:t xml:space="preserve"> USA;</w:t>
      </w:r>
    </w:p>
    <w:p w:rsidR="006B1334" w:rsidRPr="006B1334" w:rsidRDefault="006B1334" w:rsidP="006B1334">
      <w:pPr>
        <w:autoSpaceDE w:val="0"/>
        <w:autoSpaceDN w:val="0"/>
        <w:adjustRightInd w:val="0"/>
        <w:ind w:right="90"/>
        <w:jc w:val="both"/>
        <w:rPr>
          <w:rFonts w:ascii="Times New Roman" w:hAnsi="Times New Roman" w:cs="Times New Roman"/>
          <w:kern w:val="1"/>
        </w:rPr>
      </w:pPr>
      <w:r>
        <w:rPr>
          <w:rFonts w:ascii="Times New Roman" w:hAnsi="Times New Roman" w:cs="Times New Roman"/>
          <w:kern w:val="1"/>
          <w:vertAlign w:val="superscript"/>
        </w:rPr>
        <w:t>3</w:t>
      </w:r>
      <w:r w:rsidRPr="006B1334">
        <w:rPr>
          <w:rFonts w:ascii="Times New Roman" w:hAnsi="Times New Roman" w:cs="Times New Roman"/>
          <w:kern w:val="1"/>
        </w:rPr>
        <w:t>Department of Pathology and Laboratory Medicine, University of Wisconsin at Madison, Madison, WI 53706 USA;</w:t>
      </w:r>
    </w:p>
    <w:p w:rsidR="006B1334" w:rsidRPr="006B1334" w:rsidRDefault="006B1334" w:rsidP="006B1334">
      <w:pPr>
        <w:autoSpaceDE w:val="0"/>
        <w:autoSpaceDN w:val="0"/>
        <w:adjustRightInd w:val="0"/>
        <w:ind w:right="90"/>
        <w:jc w:val="both"/>
        <w:rPr>
          <w:rFonts w:ascii="Times New Roman" w:hAnsi="Times New Roman" w:cs="Times New Roman"/>
          <w:kern w:val="1"/>
        </w:rPr>
      </w:pPr>
      <w:r>
        <w:rPr>
          <w:rFonts w:ascii="Times New Roman" w:hAnsi="Times New Roman" w:cs="Times New Roman"/>
          <w:kern w:val="1"/>
          <w:vertAlign w:val="superscript"/>
        </w:rPr>
        <w:t>4</w:t>
      </w:r>
      <w:r w:rsidRPr="006B1334">
        <w:rPr>
          <w:rFonts w:ascii="Times New Roman" w:hAnsi="Times New Roman" w:cs="Times New Roman"/>
          <w:kern w:val="1"/>
        </w:rPr>
        <w:t>Department of Developmental and Cell Biology, University of California at Irvine, Irvine, CA 92697 USA;</w:t>
      </w:r>
    </w:p>
    <w:p w:rsidR="006B1334" w:rsidRPr="006B1334" w:rsidRDefault="006B1334" w:rsidP="006B1334">
      <w:pPr>
        <w:autoSpaceDE w:val="0"/>
        <w:autoSpaceDN w:val="0"/>
        <w:adjustRightInd w:val="0"/>
        <w:ind w:right="90"/>
        <w:jc w:val="both"/>
        <w:rPr>
          <w:rFonts w:ascii="Times New Roman" w:hAnsi="Times New Roman" w:cs="Times New Roman"/>
          <w:kern w:val="1"/>
        </w:rPr>
      </w:pPr>
      <w:r w:rsidRPr="006B1334">
        <w:rPr>
          <w:rFonts w:ascii="Times New Roman" w:hAnsi="Times New Roman" w:cs="Times New Roman"/>
          <w:kern w:val="1"/>
        </w:rPr>
        <w:t>*Corresponding Author</w:t>
      </w:r>
    </w:p>
    <w:p w:rsidR="006B1334" w:rsidRPr="006B1334" w:rsidRDefault="006B1334" w:rsidP="006B1334">
      <w:pPr>
        <w:tabs>
          <w:tab w:val="left" w:pos="9154"/>
        </w:tabs>
        <w:autoSpaceDE w:val="0"/>
        <w:autoSpaceDN w:val="0"/>
        <w:adjustRightInd w:val="0"/>
        <w:ind w:right="90"/>
        <w:jc w:val="both"/>
        <w:rPr>
          <w:rFonts w:ascii="Times New Roman" w:hAnsi="Times New Roman" w:cs="Times New Roman"/>
          <w:kern w:val="1"/>
        </w:rPr>
      </w:pPr>
      <w:r w:rsidRPr="006B1334">
        <w:rPr>
          <w:rFonts w:ascii="Times New Roman" w:hAnsi="Times New Roman" w:cs="Times New Roman"/>
          <w:kern w:val="1"/>
        </w:rPr>
        <w:tab/>
      </w:r>
    </w:p>
    <w:p w:rsidR="00206C91" w:rsidRPr="006B1334" w:rsidRDefault="006B1334" w:rsidP="006B1334">
      <w:pPr>
        <w:autoSpaceDE w:val="0"/>
        <w:autoSpaceDN w:val="0"/>
        <w:adjustRightInd w:val="0"/>
        <w:ind w:right="90"/>
        <w:jc w:val="both"/>
        <w:rPr>
          <w:rFonts w:ascii="Times New Roman" w:hAnsi="Times New Roman" w:cs="Times New Roman"/>
          <w:kern w:val="1"/>
        </w:rPr>
      </w:pPr>
      <w:r w:rsidRPr="006B1334">
        <w:rPr>
          <w:rFonts w:ascii="Times New Roman" w:hAnsi="Times New Roman" w:cs="Times New Roman"/>
          <w:kern w:val="1"/>
        </w:rPr>
        <w:t xml:space="preserve">Brain endothelial cells form a paracellular and transcellular barrier to blood-borne solutes via tight junctions (TJs) and scarce </w:t>
      </w:r>
      <w:proofErr w:type="spellStart"/>
      <w:r w:rsidRPr="006B1334">
        <w:rPr>
          <w:rFonts w:ascii="Times New Roman" w:hAnsi="Times New Roman" w:cs="Times New Roman"/>
          <w:kern w:val="1"/>
        </w:rPr>
        <w:t>endocytotic</w:t>
      </w:r>
      <w:proofErr w:type="spellEnd"/>
      <w:r w:rsidRPr="006B1334">
        <w:rPr>
          <w:rFonts w:ascii="Times New Roman" w:hAnsi="Times New Roman" w:cs="Times New Roman"/>
          <w:kern w:val="1"/>
        </w:rPr>
        <w:t xml:space="preserve"> vesicles. The blood-brain barrier (BBB) plays a pivotal role in the healthy and diseased central nervous system (CNS). BBB damage contributes to increased influx of serum proteins and immune cells, leading to severe pathological and neurological deficits in ischemic stroke, yet the roles of paracellular versus transcellular mechanisms in BBB dysfunction are not well understood. We have previously shown by intravital two-photon microscopy, using a transgenic strain in which endothelial TJs are labeled with </w:t>
      </w:r>
      <w:proofErr w:type="spellStart"/>
      <w:r w:rsidRPr="006B1334">
        <w:rPr>
          <w:rFonts w:ascii="Times New Roman" w:hAnsi="Times New Roman" w:cs="Times New Roman"/>
          <w:kern w:val="1"/>
        </w:rPr>
        <w:t>eGFP</w:t>
      </w:r>
      <w:proofErr w:type="spellEnd"/>
      <w:r w:rsidRPr="006B1334">
        <w:rPr>
          <w:rFonts w:ascii="Times New Roman" w:hAnsi="Times New Roman" w:cs="Times New Roman"/>
          <w:kern w:val="1"/>
        </w:rPr>
        <w:t>, that stepwise impairment of transcellular followed by paracellular barrier mechanisms accounts for BBB deficits in ischemic stroke. Moreover, Caveolin-1 deficient mice, which have reduced endothelial transcellular permeability, display a normal increase in paracellular permeability after transient MCAO, an animal model for ischemic stroke, suggesting that these two mechanisms are independent. The small GTPase Rab7 plays an essential role in protein trafficking inside the cell, as proteins move from the late endosome to the lysosome for degradation. We have generated mice deficient for Rab7 in endothelial cells (</w:t>
      </w:r>
      <w:r w:rsidRPr="006B1334">
        <w:rPr>
          <w:rFonts w:ascii="Times New Roman" w:hAnsi="Times New Roman" w:cs="Times New Roman"/>
          <w:i/>
          <w:kern w:val="1"/>
        </w:rPr>
        <w:t>Rab7</w:t>
      </w:r>
      <w:r w:rsidRPr="006B1334">
        <w:rPr>
          <w:rFonts w:ascii="Times New Roman" w:hAnsi="Times New Roman" w:cs="Times New Roman"/>
          <w:i/>
          <w:kern w:val="1"/>
          <w:vertAlign w:val="superscript"/>
        </w:rPr>
        <w:t>ECKO</w:t>
      </w:r>
      <w:r w:rsidRPr="006B1334">
        <w:rPr>
          <w:rFonts w:ascii="Times New Roman" w:hAnsi="Times New Roman" w:cs="Times New Roman"/>
          <w:kern w:val="1"/>
        </w:rPr>
        <w:t xml:space="preserve">) and have examined changes in BBB permeability, neuronal survival and neurological deficits in </w:t>
      </w:r>
      <w:r>
        <w:rPr>
          <w:rFonts w:ascii="Times New Roman" w:hAnsi="Times New Roman" w:cs="Times New Roman"/>
          <w:kern w:val="1"/>
        </w:rPr>
        <w:t xml:space="preserve">an </w:t>
      </w:r>
      <w:r w:rsidRPr="006B1334">
        <w:rPr>
          <w:rFonts w:ascii="Times New Roman" w:hAnsi="Times New Roman" w:cs="Times New Roman"/>
          <w:kern w:val="1"/>
        </w:rPr>
        <w:t xml:space="preserve">animal model for ischemic stroke. We find that </w:t>
      </w:r>
      <w:r w:rsidRPr="006B1334">
        <w:rPr>
          <w:rFonts w:ascii="Times New Roman" w:hAnsi="Times New Roman" w:cs="Times New Roman"/>
          <w:i/>
          <w:kern w:val="1"/>
        </w:rPr>
        <w:t>Rab7</w:t>
      </w:r>
      <w:r w:rsidRPr="006B1334">
        <w:rPr>
          <w:rFonts w:ascii="Times New Roman" w:hAnsi="Times New Roman" w:cs="Times New Roman"/>
          <w:i/>
          <w:kern w:val="1"/>
          <w:vertAlign w:val="superscript"/>
        </w:rPr>
        <w:t>ECKO</w:t>
      </w:r>
      <w:r w:rsidRPr="006B1334">
        <w:rPr>
          <w:rFonts w:ascii="Times New Roman" w:hAnsi="Times New Roman" w:cs="Times New Roman"/>
          <w:kern w:val="1"/>
        </w:rPr>
        <w:t xml:space="preserve"> mice have reduced paracellular permeability following ischemic stroke, which correlates with preservation of </w:t>
      </w:r>
      <w:r>
        <w:rPr>
          <w:rFonts w:ascii="Times New Roman" w:hAnsi="Times New Roman" w:cs="Times New Roman"/>
          <w:kern w:val="1"/>
        </w:rPr>
        <w:t>tight junction</w:t>
      </w:r>
      <w:r w:rsidRPr="006B1334">
        <w:rPr>
          <w:rFonts w:ascii="Times New Roman" w:hAnsi="Times New Roman" w:cs="Times New Roman"/>
          <w:kern w:val="1"/>
        </w:rPr>
        <w:t xml:space="preserve"> structural integrity and reduced degradation of junctional proteins after t-MCAO, compared to wild-type littermates. Moreover, </w:t>
      </w:r>
      <w:r w:rsidRPr="006B1334">
        <w:rPr>
          <w:rFonts w:ascii="Times New Roman" w:hAnsi="Times New Roman" w:cs="Times New Roman"/>
          <w:i/>
          <w:kern w:val="1"/>
        </w:rPr>
        <w:t>Rab7</w:t>
      </w:r>
      <w:r w:rsidRPr="006B1334">
        <w:rPr>
          <w:rFonts w:ascii="Times New Roman" w:hAnsi="Times New Roman" w:cs="Times New Roman"/>
          <w:i/>
          <w:kern w:val="1"/>
          <w:vertAlign w:val="superscript"/>
        </w:rPr>
        <w:t>ECKO</w:t>
      </w:r>
      <w:r w:rsidRPr="006B1334">
        <w:rPr>
          <w:rFonts w:ascii="Times New Roman" w:hAnsi="Times New Roman" w:cs="Times New Roman"/>
          <w:kern w:val="1"/>
        </w:rPr>
        <w:t xml:space="preserve"> mice display reduced neuronal death in both the sensory and motor cortex, and have a moderate protection against ischemic stroke. These findings suggest that Rab7 regulates </w:t>
      </w:r>
      <w:r>
        <w:rPr>
          <w:rFonts w:ascii="Times New Roman" w:hAnsi="Times New Roman" w:cs="Times New Roman"/>
          <w:kern w:val="1"/>
        </w:rPr>
        <w:t>tight junction</w:t>
      </w:r>
      <w:r w:rsidRPr="006B1334">
        <w:rPr>
          <w:rFonts w:ascii="Times New Roman" w:hAnsi="Times New Roman" w:cs="Times New Roman"/>
          <w:kern w:val="1"/>
        </w:rPr>
        <w:t xml:space="preserve"> protein degradation, which is responsible for enhancing paracellular barrier permeability </w:t>
      </w:r>
      <w:r>
        <w:rPr>
          <w:rFonts w:ascii="Times New Roman" w:hAnsi="Times New Roman" w:cs="Times New Roman"/>
          <w:kern w:val="1"/>
        </w:rPr>
        <w:t>in</w:t>
      </w:r>
      <w:r w:rsidRPr="006B1334">
        <w:rPr>
          <w:rFonts w:ascii="Times New Roman" w:hAnsi="Times New Roman" w:cs="Times New Roman"/>
          <w:kern w:val="1"/>
        </w:rPr>
        <w:t xml:space="preserve"> ischemic stroke. Furthermore, inhibition of Rab7 activation in endothelial cells may protect their barrier function and reduce the CNS damage </w:t>
      </w:r>
      <w:bookmarkStart w:id="0" w:name="_GoBack"/>
      <w:bookmarkEnd w:id="0"/>
      <w:r w:rsidRPr="006B1334">
        <w:rPr>
          <w:rFonts w:ascii="Times New Roman" w:hAnsi="Times New Roman" w:cs="Times New Roman"/>
          <w:kern w:val="1"/>
        </w:rPr>
        <w:t>that occurs in neurological disorders.</w:t>
      </w:r>
    </w:p>
    <w:sectPr w:rsidR="00206C91" w:rsidRPr="006B1334" w:rsidSect="006B133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1334"/>
    <w:rsid w:val="0000727A"/>
    <w:rsid w:val="00007F7C"/>
    <w:rsid w:val="0001059E"/>
    <w:rsid w:val="00023D2B"/>
    <w:rsid w:val="00033E44"/>
    <w:rsid w:val="00047A9B"/>
    <w:rsid w:val="00050DE3"/>
    <w:rsid w:val="000539B3"/>
    <w:rsid w:val="00053C39"/>
    <w:rsid w:val="0006395A"/>
    <w:rsid w:val="00071660"/>
    <w:rsid w:val="0008191B"/>
    <w:rsid w:val="000951FF"/>
    <w:rsid w:val="00096F8E"/>
    <w:rsid w:val="000D7C11"/>
    <w:rsid w:val="000F6037"/>
    <w:rsid w:val="00101D90"/>
    <w:rsid w:val="0011019D"/>
    <w:rsid w:val="0012195F"/>
    <w:rsid w:val="00122443"/>
    <w:rsid w:val="00136C07"/>
    <w:rsid w:val="00137952"/>
    <w:rsid w:val="00147A6A"/>
    <w:rsid w:val="00154A55"/>
    <w:rsid w:val="00154BD3"/>
    <w:rsid w:val="00160431"/>
    <w:rsid w:val="00176FA8"/>
    <w:rsid w:val="0017752D"/>
    <w:rsid w:val="00182645"/>
    <w:rsid w:val="0018489B"/>
    <w:rsid w:val="00190E1F"/>
    <w:rsid w:val="001945D0"/>
    <w:rsid w:val="0019515D"/>
    <w:rsid w:val="001A3898"/>
    <w:rsid w:val="001B2CA7"/>
    <w:rsid w:val="001C72F7"/>
    <w:rsid w:val="001D44F2"/>
    <w:rsid w:val="001E4426"/>
    <w:rsid w:val="00206C91"/>
    <w:rsid w:val="00217972"/>
    <w:rsid w:val="0023105A"/>
    <w:rsid w:val="00252289"/>
    <w:rsid w:val="00272F01"/>
    <w:rsid w:val="00273F66"/>
    <w:rsid w:val="00274104"/>
    <w:rsid w:val="00277B8E"/>
    <w:rsid w:val="00285F2A"/>
    <w:rsid w:val="00286309"/>
    <w:rsid w:val="002924CB"/>
    <w:rsid w:val="002A3FFC"/>
    <w:rsid w:val="002A7BA0"/>
    <w:rsid w:val="002B15FC"/>
    <w:rsid w:val="002B5FC2"/>
    <w:rsid w:val="002F1189"/>
    <w:rsid w:val="002F1677"/>
    <w:rsid w:val="002F2688"/>
    <w:rsid w:val="00302141"/>
    <w:rsid w:val="00306C94"/>
    <w:rsid w:val="00312284"/>
    <w:rsid w:val="00315976"/>
    <w:rsid w:val="00316B31"/>
    <w:rsid w:val="00331E43"/>
    <w:rsid w:val="00332DDF"/>
    <w:rsid w:val="003408DC"/>
    <w:rsid w:val="0035305E"/>
    <w:rsid w:val="00362A6F"/>
    <w:rsid w:val="00363C15"/>
    <w:rsid w:val="00366363"/>
    <w:rsid w:val="00374651"/>
    <w:rsid w:val="0037535E"/>
    <w:rsid w:val="00376593"/>
    <w:rsid w:val="00377E38"/>
    <w:rsid w:val="00383C49"/>
    <w:rsid w:val="00386AF7"/>
    <w:rsid w:val="003874A4"/>
    <w:rsid w:val="00391D59"/>
    <w:rsid w:val="00395CC9"/>
    <w:rsid w:val="003A2B98"/>
    <w:rsid w:val="003A4D68"/>
    <w:rsid w:val="003C5B16"/>
    <w:rsid w:val="003D72E1"/>
    <w:rsid w:val="003F06A7"/>
    <w:rsid w:val="00401E42"/>
    <w:rsid w:val="00407AAD"/>
    <w:rsid w:val="00450A51"/>
    <w:rsid w:val="00454996"/>
    <w:rsid w:val="00462F0B"/>
    <w:rsid w:val="0047547F"/>
    <w:rsid w:val="00481053"/>
    <w:rsid w:val="0048662D"/>
    <w:rsid w:val="004A1188"/>
    <w:rsid w:val="004A5B91"/>
    <w:rsid w:val="004B4D3F"/>
    <w:rsid w:val="004B7C65"/>
    <w:rsid w:val="004D59E0"/>
    <w:rsid w:val="004D6BCE"/>
    <w:rsid w:val="004E6975"/>
    <w:rsid w:val="004F021E"/>
    <w:rsid w:val="004F300F"/>
    <w:rsid w:val="00503B54"/>
    <w:rsid w:val="005243DB"/>
    <w:rsid w:val="0056183D"/>
    <w:rsid w:val="00564AC5"/>
    <w:rsid w:val="00564CCC"/>
    <w:rsid w:val="0057004F"/>
    <w:rsid w:val="00580DF7"/>
    <w:rsid w:val="005C11E2"/>
    <w:rsid w:val="005D4B93"/>
    <w:rsid w:val="005D58D2"/>
    <w:rsid w:val="005D65C8"/>
    <w:rsid w:val="005D7751"/>
    <w:rsid w:val="005E097F"/>
    <w:rsid w:val="005F125F"/>
    <w:rsid w:val="00600522"/>
    <w:rsid w:val="00613BF1"/>
    <w:rsid w:val="006218EF"/>
    <w:rsid w:val="00631E4A"/>
    <w:rsid w:val="00634751"/>
    <w:rsid w:val="00653456"/>
    <w:rsid w:val="00661D37"/>
    <w:rsid w:val="00666617"/>
    <w:rsid w:val="00673AF4"/>
    <w:rsid w:val="00686A6D"/>
    <w:rsid w:val="00690D5C"/>
    <w:rsid w:val="006943B1"/>
    <w:rsid w:val="006B1334"/>
    <w:rsid w:val="006C42E2"/>
    <w:rsid w:val="006C4C53"/>
    <w:rsid w:val="006D4865"/>
    <w:rsid w:val="006D5218"/>
    <w:rsid w:val="006D6811"/>
    <w:rsid w:val="006F00EB"/>
    <w:rsid w:val="006F54BA"/>
    <w:rsid w:val="00711010"/>
    <w:rsid w:val="00711717"/>
    <w:rsid w:val="007148BC"/>
    <w:rsid w:val="007250D8"/>
    <w:rsid w:val="00742522"/>
    <w:rsid w:val="0074432E"/>
    <w:rsid w:val="0077726A"/>
    <w:rsid w:val="00781395"/>
    <w:rsid w:val="00784C13"/>
    <w:rsid w:val="007916F3"/>
    <w:rsid w:val="007A3A26"/>
    <w:rsid w:val="007D5DFD"/>
    <w:rsid w:val="007E7AAF"/>
    <w:rsid w:val="00805CFE"/>
    <w:rsid w:val="00816CBF"/>
    <w:rsid w:val="00817884"/>
    <w:rsid w:val="00840DD6"/>
    <w:rsid w:val="00843133"/>
    <w:rsid w:val="00845050"/>
    <w:rsid w:val="00847040"/>
    <w:rsid w:val="00855722"/>
    <w:rsid w:val="00874EA6"/>
    <w:rsid w:val="00877042"/>
    <w:rsid w:val="00891B75"/>
    <w:rsid w:val="00891E3D"/>
    <w:rsid w:val="0089417B"/>
    <w:rsid w:val="00895027"/>
    <w:rsid w:val="008C4AD7"/>
    <w:rsid w:val="008D0137"/>
    <w:rsid w:val="00906C75"/>
    <w:rsid w:val="00911017"/>
    <w:rsid w:val="00913B6F"/>
    <w:rsid w:val="00920A5A"/>
    <w:rsid w:val="00923489"/>
    <w:rsid w:val="00924805"/>
    <w:rsid w:val="009331DC"/>
    <w:rsid w:val="00936C85"/>
    <w:rsid w:val="00953A13"/>
    <w:rsid w:val="00963F50"/>
    <w:rsid w:val="00971CD4"/>
    <w:rsid w:val="009A2A8C"/>
    <w:rsid w:val="009C0F2A"/>
    <w:rsid w:val="009D2FC5"/>
    <w:rsid w:val="009E560C"/>
    <w:rsid w:val="009F006E"/>
    <w:rsid w:val="00A02241"/>
    <w:rsid w:val="00A04615"/>
    <w:rsid w:val="00A053D2"/>
    <w:rsid w:val="00A1580D"/>
    <w:rsid w:val="00A35359"/>
    <w:rsid w:val="00A4192B"/>
    <w:rsid w:val="00A658E6"/>
    <w:rsid w:val="00A665E4"/>
    <w:rsid w:val="00A86830"/>
    <w:rsid w:val="00A95E41"/>
    <w:rsid w:val="00AB6248"/>
    <w:rsid w:val="00AE3AF6"/>
    <w:rsid w:val="00AE76E6"/>
    <w:rsid w:val="00AE7D4D"/>
    <w:rsid w:val="00AF3ED1"/>
    <w:rsid w:val="00B11950"/>
    <w:rsid w:val="00B12D05"/>
    <w:rsid w:val="00B15536"/>
    <w:rsid w:val="00B17A81"/>
    <w:rsid w:val="00B363D7"/>
    <w:rsid w:val="00B43FA1"/>
    <w:rsid w:val="00B441F4"/>
    <w:rsid w:val="00B47FFB"/>
    <w:rsid w:val="00B51CA9"/>
    <w:rsid w:val="00B62E98"/>
    <w:rsid w:val="00B718E1"/>
    <w:rsid w:val="00B745C7"/>
    <w:rsid w:val="00B82293"/>
    <w:rsid w:val="00B92653"/>
    <w:rsid w:val="00BA4756"/>
    <w:rsid w:val="00BB31A9"/>
    <w:rsid w:val="00BC4E62"/>
    <w:rsid w:val="00BD2417"/>
    <w:rsid w:val="00BD5BA5"/>
    <w:rsid w:val="00BE4028"/>
    <w:rsid w:val="00BE6C46"/>
    <w:rsid w:val="00BE7C2F"/>
    <w:rsid w:val="00BF314E"/>
    <w:rsid w:val="00C0080B"/>
    <w:rsid w:val="00C04487"/>
    <w:rsid w:val="00C10F49"/>
    <w:rsid w:val="00C1298D"/>
    <w:rsid w:val="00C1322E"/>
    <w:rsid w:val="00C260EB"/>
    <w:rsid w:val="00C269E4"/>
    <w:rsid w:val="00C328A6"/>
    <w:rsid w:val="00C338CB"/>
    <w:rsid w:val="00C365C0"/>
    <w:rsid w:val="00C52556"/>
    <w:rsid w:val="00C53792"/>
    <w:rsid w:val="00C57AE5"/>
    <w:rsid w:val="00C63339"/>
    <w:rsid w:val="00C635B8"/>
    <w:rsid w:val="00C75600"/>
    <w:rsid w:val="00CA5E1A"/>
    <w:rsid w:val="00CC20CB"/>
    <w:rsid w:val="00CD2C82"/>
    <w:rsid w:val="00CD5103"/>
    <w:rsid w:val="00CF0F81"/>
    <w:rsid w:val="00CF1659"/>
    <w:rsid w:val="00CF4AD8"/>
    <w:rsid w:val="00CF554A"/>
    <w:rsid w:val="00D009AB"/>
    <w:rsid w:val="00D073AC"/>
    <w:rsid w:val="00D21153"/>
    <w:rsid w:val="00D25088"/>
    <w:rsid w:val="00D441A8"/>
    <w:rsid w:val="00D441C9"/>
    <w:rsid w:val="00D45330"/>
    <w:rsid w:val="00D462BE"/>
    <w:rsid w:val="00D51827"/>
    <w:rsid w:val="00D5374E"/>
    <w:rsid w:val="00D9687C"/>
    <w:rsid w:val="00D97D29"/>
    <w:rsid w:val="00DA06E0"/>
    <w:rsid w:val="00DA36DE"/>
    <w:rsid w:val="00DA7182"/>
    <w:rsid w:val="00DB0819"/>
    <w:rsid w:val="00DC4291"/>
    <w:rsid w:val="00DD5C93"/>
    <w:rsid w:val="00DE11AC"/>
    <w:rsid w:val="00DF1426"/>
    <w:rsid w:val="00DF7211"/>
    <w:rsid w:val="00E105D3"/>
    <w:rsid w:val="00E13FD9"/>
    <w:rsid w:val="00E14607"/>
    <w:rsid w:val="00E218BB"/>
    <w:rsid w:val="00E25317"/>
    <w:rsid w:val="00E31908"/>
    <w:rsid w:val="00E5149B"/>
    <w:rsid w:val="00E53802"/>
    <w:rsid w:val="00E63094"/>
    <w:rsid w:val="00E71D82"/>
    <w:rsid w:val="00E72F81"/>
    <w:rsid w:val="00E74E01"/>
    <w:rsid w:val="00E750AD"/>
    <w:rsid w:val="00E8239A"/>
    <w:rsid w:val="00E8285B"/>
    <w:rsid w:val="00E83455"/>
    <w:rsid w:val="00E95953"/>
    <w:rsid w:val="00EA1293"/>
    <w:rsid w:val="00EB39A6"/>
    <w:rsid w:val="00EB3E1E"/>
    <w:rsid w:val="00EB4A3D"/>
    <w:rsid w:val="00ED627E"/>
    <w:rsid w:val="00EE0B05"/>
    <w:rsid w:val="00EF5D48"/>
    <w:rsid w:val="00EF72A3"/>
    <w:rsid w:val="00F11169"/>
    <w:rsid w:val="00F15E0D"/>
    <w:rsid w:val="00F56538"/>
    <w:rsid w:val="00F717E2"/>
    <w:rsid w:val="00F76D04"/>
    <w:rsid w:val="00FA1153"/>
    <w:rsid w:val="00FA352F"/>
    <w:rsid w:val="00FB5550"/>
    <w:rsid w:val="00FE0992"/>
    <w:rsid w:val="00FE7544"/>
    <w:rsid w:val="00FF21F9"/>
    <w:rsid w:val="00FF44F0"/>
    <w:rsid w:val="00FF4F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FA796F"/>
  <w15:chartTrackingRefBased/>
  <w15:docId w15:val="{D2BFB440-19E9-8441-A23F-993609623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414</Words>
  <Characters>2364</Characters>
  <Application>Microsoft Office Word</Application>
  <DocSecurity>0</DocSecurity>
  <Lines>19</Lines>
  <Paragraphs>5</Paragraphs>
  <ScaleCrop>false</ScaleCrop>
  <Company/>
  <LinksUpToDate>false</LinksUpToDate>
  <CharactersWithSpaces>2773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Agalliu, Dritan</dc:creator>
  <cp:keywords/>
  <dc:description/>
  <cp:lastModifiedBy>Agalliu, Dritan</cp:lastModifiedBy>
  <cp:revision>1</cp:revision>
  <dcterms:created xsi:type="dcterms:W3CDTF">2019-04-04T05:02:00Z</dcterms:created>
  <dcterms:modified xsi:type="dcterms:W3CDTF">2019-04-04T05:08:00Z</dcterms:modified>
</cp:coreProperties>
</file>