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BFEB60" w14:textId="420B12FD" w:rsidR="004A4933" w:rsidRPr="0097013B" w:rsidRDefault="0090403C" w:rsidP="0097013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013B">
        <w:rPr>
          <w:rFonts w:ascii="Times New Roman" w:hAnsi="Times New Roman" w:cs="Times New Roman"/>
          <w:b/>
          <w:bCs/>
          <w:sz w:val="24"/>
          <w:szCs w:val="24"/>
        </w:rPr>
        <w:t xml:space="preserve">CXCL12-CXCR4 axis </w:t>
      </w:r>
      <w:r w:rsidR="0097013B" w:rsidRPr="0097013B">
        <w:rPr>
          <w:rFonts w:ascii="Times New Roman" w:hAnsi="Times New Roman" w:cs="Times New Roman"/>
          <w:b/>
          <w:bCs/>
          <w:sz w:val="24"/>
          <w:szCs w:val="24"/>
        </w:rPr>
        <w:t>potentiates stemness of glioma cells</w:t>
      </w:r>
    </w:p>
    <w:p w14:paraId="23B5C095" w14:textId="6A1DCE87" w:rsidR="00E7272B" w:rsidRPr="00133BF9" w:rsidRDefault="0002464E" w:rsidP="00E7272B">
      <w:pPr>
        <w:pStyle w:val="a3"/>
        <w:spacing w:before="3" w:line="360" w:lineRule="auto"/>
        <w:rPr>
          <w:rFonts w:ascii="Times New Roman" w:eastAsiaTheme="minorEastAsia" w:hAnsi="Times New Roman" w:cs="Times New Roman"/>
          <w:i/>
          <w:iCs/>
          <w:color w:val="000000" w:themeColor="text1"/>
          <w:sz w:val="24"/>
          <w:szCs w:val="24"/>
          <w:lang w:eastAsia="zh-CN"/>
        </w:rPr>
      </w:pPr>
      <w:proofErr w:type="spellStart"/>
      <w:r>
        <w:rPr>
          <w:rFonts w:ascii="Times New Roman" w:eastAsiaTheme="minorEastAsia" w:hAnsi="Times New Roman" w:cs="Times New Roman"/>
          <w:i/>
          <w:iCs/>
          <w:color w:val="000000" w:themeColor="text1"/>
          <w:sz w:val="24"/>
          <w:szCs w:val="24"/>
          <w:lang w:eastAsia="zh-CN"/>
        </w:rPr>
        <w:t>Xuewen</w:t>
      </w:r>
      <w:proofErr w:type="spellEnd"/>
      <w:r>
        <w:rPr>
          <w:rFonts w:ascii="Times New Roman" w:eastAsiaTheme="minorEastAsia" w:hAnsi="Times New Roman" w:cs="Times New Roman"/>
          <w:i/>
          <w:iCs/>
          <w:color w:val="000000" w:themeColor="text1"/>
          <w:sz w:val="24"/>
          <w:szCs w:val="24"/>
          <w:lang w:eastAsia="zh-CN"/>
        </w:rPr>
        <w:t xml:space="preserve"> Xu, </w:t>
      </w:r>
      <w:proofErr w:type="spellStart"/>
      <w:r w:rsidR="00E7272B" w:rsidRPr="00133BF9">
        <w:rPr>
          <w:rFonts w:ascii="Times New Roman" w:eastAsiaTheme="minorEastAsia" w:hAnsi="Times New Roman" w:cs="Times New Roman"/>
          <w:i/>
          <w:iCs/>
          <w:color w:val="000000" w:themeColor="text1"/>
          <w:sz w:val="24"/>
          <w:szCs w:val="24"/>
          <w:lang w:eastAsia="zh-CN"/>
        </w:rPr>
        <w:t>Xiaoxiao</w:t>
      </w:r>
      <w:proofErr w:type="spellEnd"/>
      <w:r w:rsidR="00E7272B" w:rsidRPr="00133BF9">
        <w:rPr>
          <w:rFonts w:ascii="Times New Roman" w:eastAsiaTheme="minorEastAsia" w:hAnsi="Times New Roman" w:cs="Times New Roman"/>
          <w:i/>
          <w:iCs/>
          <w:color w:val="000000" w:themeColor="text1"/>
          <w:sz w:val="24"/>
          <w:szCs w:val="24"/>
          <w:lang w:eastAsia="zh-CN"/>
        </w:rPr>
        <w:t xml:space="preserve"> Yang,</w:t>
      </w:r>
      <w:r w:rsidRPr="00133BF9">
        <w:rPr>
          <w:rFonts w:ascii="Times New Roman" w:eastAsiaTheme="minorEastAsia" w:hAnsi="Times New Roman" w:cs="Times New Roman"/>
          <w:i/>
          <w:iCs/>
          <w:color w:val="000000" w:themeColor="text1"/>
          <w:sz w:val="24"/>
          <w:szCs w:val="24"/>
          <w:lang w:eastAsia="zh-CN"/>
        </w:rPr>
        <w:t xml:space="preserve"> </w:t>
      </w:r>
      <w:proofErr w:type="spellStart"/>
      <w:r w:rsidR="00E7272B" w:rsidRPr="00133BF9">
        <w:rPr>
          <w:rFonts w:ascii="Times New Roman" w:eastAsiaTheme="minorEastAsia" w:hAnsi="Times New Roman" w:cs="Times New Roman"/>
          <w:i/>
          <w:iCs/>
          <w:color w:val="000000" w:themeColor="text1"/>
          <w:sz w:val="24"/>
          <w:szCs w:val="24"/>
          <w:lang w:eastAsia="zh-CN"/>
        </w:rPr>
        <w:t>Dongqing</w:t>
      </w:r>
      <w:proofErr w:type="spellEnd"/>
      <w:r w:rsidR="00E7272B" w:rsidRPr="00133BF9">
        <w:rPr>
          <w:rFonts w:ascii="Times New Roman" w:eastAsiaTheme="minorEastAsia" w:hAnsi="Times New Roman" w:cs="Times New Roman"/>
          <w:i/>
          <w:iCs/>
          <w:color w:val="000000" w:themeColor="text1"/>
          <w:sz w:val="24"/>
          <w:szCs w:val="24"/>
          <w:lang w:eastAsia="zh-CN"/>
        </w:rPr>
        <w:t xml:space="preserve"> Wang, </w:t>
      </w:r>
      <w:proofErr w:type="spellStart"/>
      <w:r w:rsidR="00E7272B" w:rsidRPr="00133BF9">
        <w:rPr>
          <w:rFonts w:ascii="Times New Roman" w:eastAsiaTheme="minorEastAsia" w:hAnsi="Times New Roman" w:cs="Times New Roman"/>
          <w:i/>
          <w:iCs/>
          <w:color w:val="000000" w:themeColor="text1"/>
          <w:sz w:val="24"/>
          <w:szCs w:val="24"/>
          <w:lang w:eastAsia="zh-CN"/>
        </w:rPr>
        <w:t>Haitao</w:t>
      </w:r>
      <w:proofErr w:type="spellEnd"/>
      <w:r w:rsidR="00E7272B" w:rsidRPr="00133BF9">
        <w:rPr>
          <w:rFonts w:ascii="Times New Roman" w:eastAsiaTheme="minorEastAsia" w:hAnsi="Times New Roman" w:cs="Times New Roman"/>
          <w:i/>
          <w:iCs/>
          <w:color w:val="000000" w:themeColor="text1"/>
          <w:sz w:val="24"/>
          <w:szCs w:val="24"/>
          <w:lang w:eastAsia="zh-CN"/>
        </w:rPr>
        <w:t xml:space="preserve"> Z</w:t>
      </w:r>
      <w:r w:rsidR="00E7272B" w:rsidRPr="00133BF9">
        <w:rPr>
          <w:rFonts w:ascii="Times New Roman" w:eastAsiaTheme="minorEastAsia" w:hAnsi="Times New Roman" w:cs="Times New Roman" w:hint="eastAsia"/>
          <w:i/>
          <w:iCs/>
          <w:color w:val="000000" w:themeColor="text1"/>
          <w:sz w:val="24"/>
          <w:szCs w:val="24"/>
          <w:lang w:eastAsia="zh-CN"/>
        </w:rPr>
        <w:t>hu</w:t>
      </w:r>
      <w:r>
        <w:rPr>
          <w:rFonts w:ascii="Times New Roman" w:eastAsiaTheme="minorEastAsia" w:hAnsi="Times New Roman" w:cs="Times New Roman"/>
          <w:i/>
          <w:iCs/>
          <w:color w:val="000000" w:themeColor="text1"/>
          <w:sz w:val="24"/>
          <w:szCs w:val="24"/>
          <w:lang w:eastAsia="zh-CN"/>
        </w:rPr>
        <w:t xml:space="preserve">, </w:t>
      </w:r>
      <w:proofErr w:type="spellStart"/>
      <w:r>
        <w:rPr>
          <w:rFonts w:ascii="Times New Roman" w:eastAsiaTheme="minorEastAsia" w:hAnsi="Times New Roman" w:cs="Times New Roman" w:hint="eastAsia"/>
          <w:i/>
          <w:iCs/>
          <w:color w:val="000000" w:themeColor="text1"/>
          <w:sz w:val="24"/>
          <w:szCs w:val="24"/>
          <w:lang w:eastAsia="zh-CN"/>
        </w:rPr>
        <w:t>L</w:t>
      </w:r>
      <w:r>
        <w:rPr>
          <w:rFonts w:ascii="Times New Roman" w:eastAsiaTheme="minorEastAsia" w:hAnsi="Times New Roman" w:cs="Times New Roman"/>
          <w:i/>
          <w:iCs/>
          <w:color w:val="000000" w:themeColor="text1"/>
          <w:sz w:val="24"/>
          <w:szCs w:val="24"/>
          <w:lang w:eastAsia="zh-CN"/>
        </w:rPr>
        <w:t>irong</w:t>
      </w:r>
      <w:proofErr w:type="spellEnd"/>
      <w:r>
        <w:rPr>
          <w:rFonts w:ascii="Times New Roman" w:eastAsiaTheme="minorEastAsia" w:hAnsi="Times New Roman" w:cs="Times New Roman"/>
          <w:i/>
          <w:iCs/>
          <w:color w:val="000000" w:themeColor="text1"/>
          <w:sz w:val="24"/>
          <w:szCs w:val="24"/>
          <w:lang w:eastAsia="zh-CN"/>
        </w:rPr>
        <w:t xml:space="preserve"> Zhang</w:t>
      </w:r>
    </w:p>
    <w:p w14:paraId="0EA9CD9A" w14:textId="3395D6CE" w:rsidR="00E7272B" w:rsidRPr="00133BF9" w:rsidRDefault="00E7272B" w:rsidP="00E7272B">
      <w:pPr>
        <w:pStyle w:val="a3"/>
        <w:spacing w:before="3" w:line="360" w:lineRule="auto"/>
        <w:rPr>
          <w:rFonts w:ascii="Times New Roman" w:eastAsiaTheme="minorEastAsia" w:hAnsi="Times New Roman" w:cs="Times New Roman"/>
          <w:i/>
          <w:iCs/>
          <w:color w:val="000000" w:themeColor="text1"/>
          <w:sz w:val="24"/>
          <w:szCs w:val="24"/>
          <w:lang w:eastAsia="zh-CN"/>
        </w:rPr>
      </w:pPr>
      <w:r w:rsidRPr="00133BF9">
        <w:rPr>
          <w:rFonts w:ascii="Times New Roman" w:eastAsiaTheme="minorEastAsia" w:hAnsi="Times New Roman" w:cs="Times New Roman"/>
          <w:i/>
          <w:iCs/>
          <w:color w:val="000000" w:themeColor="text1"/>
          <w:sz w:val="24"/>
          <w:szCs w:val="24"/>
          <w:lang w:eastAsia="zh-CN"/>
        </w:rPr>
        <w:t>Affiliated Hospital of Jiangsu University, Jiangsu University, Zhenjiang, China</w:t>
      </w:r>
    </w:p>
    <w:p w14:paraId="62068102" w14:textId="0703C6AF" w:rsidR="0090403C" w:rsidRDefault="00AA7BCE" w:rsidP="004A493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</w:t>
      </w:r>
      <w:r w:rsidR="0097013B">
        <w:rPr>
          <w:rFonts w:ascii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hAnsi="Times New Roman" w:cs="Times New Roman"/>
          <w:b/>
          <w:bCs/>
          <w:sz w:val="24"/>
          <w:szCs w:val="24"/>
        </w:rPr>
        <w:t>ywords:</w:t>
      </w:r>
      <w:r w:rsidRPr="00AA7B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7013B">
        <w:rPr>
          <w:rFonts w:ascii="Times New Roman" w:hAnsi="Times New Roman" w:cs="Times New Roman"/>
          <w:b/>
          <w:bCs/>
          <w:sz w:val="24"/>
          <w:szCs w:val="24"/>
        </w:rPr>
        <w:t>CXCL12-CXCR4 axis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97013B">
        <w:rPr>
          <w:rFonts w:ascii="Times New Roman" w:hAnsi="Times New Roman" w:cs="Times New Roman"/>
          <w:b/>
          <w:bCs/>
          <w:sz w:val="24"/>
          <w:szCs w:val="24"/>
        </w:rPr>
        <w:t>stemness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97013B">
        <w:rPr>
          <w:rFonts w:ascii="Times New Roman" w:hAnsi="Times New Roman" w:cs="Times New Roman"/>
          <w:b/>
          <w:bCs/>
          <w:sz w:val="24"/>
          <w:szCs w:val="24"/>
        </w:rPr>
        <w:t>glioma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AA7BCE">
        <w:rPr>
          <w:rFonts w:ascii="Times New Roman" w:hAnsi="Times New Roman" w:cs="Times New Roman"/>
          <w:b/>
          <w:bCs/>
          <w:sz w:val="24"/>
          <w:szCs w:val="24"/>
        </w:rPr>
        <w:t>plerixafor</w:t>
      </w:r>
    </w:p>
    <w:p w14:paraId="36E9E025" w14:textId="77777777" w:rsidR="00AA7BCE" w:rsidRDefault="00AA7BCE" w:rsidP="004A493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3414CA3" w14:textId="25A264EC" w:rsidR="00E7272B" w:rsidRPr="00E7272B" w:rsidRDefault="00D36D24" w:rsidP="004A493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sz w:val="24"/>
          <w:szCs w:val="24"/>
        </w:rPr>
        <w:t>bstract</w:t>
      </w:r>
    </w:p>
    <w:p w14:paraId="6A951E81" w14:textId="73FAB8F6" w:rsidR="0090403C" w:rsidRDefault="005E06FB" w:rsidP="005E06FB">
      <w:pPr>
        <w:rPr>
          <w:rFonts w:ascii="Times New Roman" w:hAnsi="Times New Roman" w:cs="Times New Roman"/>
          <w:sz w:val="24"/>
          <w:szCs w:val="24"/>
        </w:rPr>
      </w:pPr>
      <w:r w:rsidRPr="00F01E97">
        <w:rPr>
          <w:rFonts w:ascii="Times New Roman" w:hAnsi="Times New Roman" w:cs="Times New Roman"/>
          <w:b/>
          <w:bCs/>
          <w:sz w:val="24"/>
          <w:szCs w:val="24"/>
        </w:rPr>
        <w:t>Background:</w:t>
      </w:r>
      <w:r w:rsidR="00BB31F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90403C" w:rsidRPr="0090403C">
        <w:rPr>
          <w:rFonts w:ascii="Times New Roman" w:hAnsi="Times New Roman" w:cs="Times New Roman"/>
          <w:sz w:val="24"/>
          <w:szCs w:val="24"/>
        </w:rPr>
        <w:t xml:space="preserve">Glioblastoma multiforme (GBM) is a common primary tumor of the central nervous system. The change of cell </w:t>
      </w:r>
      <w:r w:rsidR="0090403C">
        <w:rPr>
          <w:rFonts w:ascii="Times New Roman" w:hAnsi="Times New Roman" w:cs="Times New Roman"/>
          <w:sz w:val="24"/>
          <w:szCs w:val="24"/>
        </w:rPr>
        <w:t>stemness</w:t>
      </w:r>
      <w:r w:rsidR="0090403C" w:rsidRPr="0090403C">
        <w:rPr>
          <w:rFonts w:ascii="Times New Roman" w:hAnsi="Times New Roman" w:cs="Times New Roman"/>
          <w:sz w:val="24"/>
          <w:szCs w:val="24"/>
        </w:rPr>
        <w:t xml:space="preserve"> is one of the important characteristics of tumors including GBM, which is a cause and effect of tumor </w:t>
      </w:r>
      <w:r w:rsidR="0090403C" w:rsidRPr="005E06FB">
        <w:rPr>
          <w:rFonts w:ascii="Times New Roman" w:hAnsi="Times New Roman" w:cs="Times New Roman"/>
          <w:sz w:val="24"/>
          <w:szCs w:val="24"/>
        </w:rPr>
        <w:t>recurrence and metastasis</w:t>
      </w:r>
      <w:r w:rsidR="0090403C" w:rsidRPr="0090403C">
        <w:rPr>
          <w:rFonts w:ascii="Times New Roman" w:hAnsi="Times New Roman" w:cs="Times New Roman"/>
          <w:sz w:val="24"/>
          <w:szCs w:val="24"/>
        </w:rPr>
        <w:t>.</w:t>
      </w:r>
      <w:r w:rsidR="00815AE1" w:rsidRPr="00815AE1">
        <w:t xml:space="preserve"> </w:t>
      </w:r>
      <w:r w:rsidR="00815AE1" w:rsidRPr="00815AE1">
        <w:rPr>
          <w:rFonts w:ascii="Times New Roman" w:hAnsi="Times New Roman" w:cs="Times New Roman"/>
          <w:sz w:val="24"/>
          <w:szCs w:val="24"/>
        </w:rPr>
        <w:t xml:space="preserve">Upon binging to the receptor special CXCR4, CXCL12 </w:t>
      </w:r>
      <w:r w:rsidR="00815AE1">
        <w:rPr>
          <w:rFonts w:ascii="Times New Roman" w:hAnsi="Times New Roman" w:cs="Times New Roman"/>
          <w:sz w:val="24"/>
          <w:szCs w:val="24"/>
        </w:rPr>
        <w:t>is</w:t>
      </w:r>
      <w:r w:rsidR="00815AE1" w:rsidRPr="00815AE1">
        <w:rPr>
          <w:rFonts w:ascii="Times New Roman" w:hAnsi="Times New Roman" w:cs="Times New Roman"/>
          <w:sz w:val="24"/>
          <w:szCs w:val="24"/>
        </w:rPr>
        <w:t xml:space="preserve"> involved in the proliferation, invasion and metastasis of tumor cells</w:t>
      </w:r>
      <w:r w:rsidR="00815AE1">
        <w:rPr>
          <w:rFonts w:ascii="Times New Roman" w:hAnsi="Times New Roman" w:cs="Times New Roman"/>
          <w:sz w:val="24"/>
          <w:szCs w:val="24"/>
        </w:rPr>
        <w:t>.</w:t>
      </w:r>
      <w:r w:rsidR="0090403C" w:rsidRPr="0090403C">
        <w:rPr>
          <w:rFonts w:ascii="Times New Roman" w:hAnsi="Times New Roman" w:cs="Times New Roman"/>
          <w:sz w:val="24"/>
          <w:szCs w:val="24"/>
        </w:rPr>
        <w:t xml:space="preserve"> Here we report the impact of </w:t>
      </w:r>
      <w:bookmarkStart w:id="0" w:name="_Hlk33014716"/>
      <w:r w:rsidR="0090403C" w:rsidRPr="0090403C">
        <w:rPr>
          <w:rFonts w:ascii="Times New Roman" w:hAnsi="Times New Roman" w:cs="Times New Roman"/>
          <w:sz w:val="24"/>
          <w:szCs w:val="24"/>
        </w:rPr>
        <w:t>CXCL12-CXCR4 axis</w:t>
      </w:r>
      <w:bookmarkEnd w:id="0"/>
      <w:r w:rsidR="0090403C" w:rsidRPr="0090403C">
        <w:rPr>
          <w:rFonts w:ascii="Times New Roman" w:hAnsi="Times New Roman" w:cs="Times New Roman"/>
          <w:sz w:val="24"/>
          <w:szCs w:val="24"/>
        </w:rPr>
        <w:t xml:space="preserve"> on </w:t>
      </w:r>
      <w:r w:rsidR="0090403C" w:rsidRPr="005E06FB">
        <w:rPr>
          <w:rFonts w:ascii="Times New Roman" w:hAnsi="Times New Roman" w:cs="Times New Roman"/>
          <w:sz w:val="24"/>
          <w:szCs w:val="24"/>
        </w:rPr>
        <w:t>cancer stem cells</w:t>
      </w:r>
      <w:r w:rsidR="0090403C">
        <w:rPr>
          <w:rFonts w:ascii="Times New Roman" w:hAnsi="Times New Roman" w:cs="Times New Roman"/>
          <w:sz w:val="24"/>
          <w:szCs w:val="24"/>
        </w:rPr>
        <w:t xml:space="preserve"> (CSCs)</w:t>
      </w:r>
      <w:r w:rsidR="0090403C" w:rsidRPr="0090403C">
        <w:rPr>
          <w:rFonts w:ascii="Times New Roman" w:hAnsi="Times New Roman" w:cs="Times New Roman"/>
          <w:sz w:val="24"/>
          <w:szCs w:val="24"/>
        </w:rPr>
        <w:t xml:space="preserve"> in GBM.</w:t>
      </w:r>
    </w:p>
    <w:p w14:paraId="307AF477" w14:textId="48626812" w:rsidR="0090403C" w:rsidRDefault="005E06FB" w:rsidP="005E06FB">
      <w:pPr>
        <w:rPr>
          <w:rFonts w:ascii="Times New Roman" w:hAnsi="Times New Roman" w:cs="Times New Roman"/>
          <w:sz w:val="24"/>
          <w:szCs w:val="24"/>
        </w:rPr>
      </w:pPr>
      <w:r w:rsidRPr="00F01E97">
        <w:rPr>
          <w:rFonts w:ascii="Times New Roman" w:hAnsi="Times New Roman" w:cs="Times New Roman"/>
          <w:b/>
          <w:bCs/>
          <w:sz w:val="24"/>
          <w:szCs w:val="24"/>
        </w:rPr>
        <w:t>Methods:</w:t>
      </w:r>
      <w:r w:rsidR="00BB31F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1A4689" w:rsidRPr="001A4689">
        <w:rPr>
          <w:rFonts w:ascii="Times New Roman" w:hAnsi="Times New Roman" w:cs="Times New Roman"/>
          <w:sz w:val="24"/>
          <w:szCs w:val="24"/>
        </w:rPr>
        <w:t xml:space="preserve">Bioinformatics software </w:t>
      </w:r>
      <w:r w:rsidR="001A4689" w:rsidRPr="001A4689">
        <w:rPr>
          <w:rFonts w:ascii="Times New Roman" w:hAnsi="Times New Roman" w:cs="Times New Roman" w:hint="eastAsia"/>
          <w:sz w:val="24"/>
          <w:szCs w:val="24"/>
        </w:rPr>
        <w:t>was</w:t>
      </w:r>
      <w:r w:rsidR="001A4689" w:rsidRPr="001A4689">
        <w:rPr>
          <w:rFonts w:ascii="Times New Roman" w:hAnsi="Times New Roman" w:cs="Times New Roman"/>
          <w:sz w:val="24"/>
          <w:szCs w:val="24"/>
        </w:rPr>
        <w:t xml:space="preserve"> used, based on TCGA, to analyze of the potential correlation between CXCL12-CXCR4 axis and stem-related genes</w:t>
      </w:r>
      <w:r w:rsidR="00AA7BCE">
        <w:rPr>
          <w:rFonts w:ascii="Times New Roman" w:hAnsi="Times New Roman" w:cs="Times New Roman"/>
          <w:sz w:val="24"/>
          <w:szCs w:val="24"/>
        </w:rPr>
        <w:t xml:space="preserve"> (OCT4, SOX2, NANOG)</w:t>
      </w:r>
      <w:r w:rsidR="001A4689" w:rsidRPr="001A4689">
        <w:rPr>
          <w:rFonts w:ascii="Times New Roman" w:hAnsi="Times New Roman" w:cs="Times New Roman"/>
          <w:sz w:val="24"/>
          <w:szCs w:val="24"/>
        </w:rPr>
        <w:t>.</w:t>
      </w:r>
      <w:r w:rsidR="001A4689">
        <w:rPr>
          <w:rFonts w:ascii="Times New Roman" w:hAnsi="Times New Roman" w:cs="Times New Roman"/>
          <w:sz w:val="24"/>
          <w:szCs w:val="24"/>
        </w:rPr>
        <w:t xml:space="preserve"> </w:t>
      </w:r>
      <w:r w:rsidR="0010300F" w:rsidRPr="0010300F">
        <w:rPr>
          <w:rFonts w:ascii="Times New Roman" w:hAnsi="Times New Roman" w:cs="Times New Roman"/>
          <w:sz w:val="24"/>
          <w:szCs w:val="24"/>
        </w:rPr>
        <w:t>Quantitative real time polymerase chain reaction</w:t>
      </w:r>
      <w:r w:rsidR="00AA7BCE">
        <w:rPr>
          <w:rFonts w:ascii="Times New Roman" w:hAnsi="Times New Roman" w:cs="Times New Roman"/>
          <w:sz w:val="24"/>
          <w:szCs w:val="24"/>
        </w:rPr>
        <w:t xml:space="preserve"> </w:t>
      </w:r>
      <w:r w:rsidR="0010300F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10300F">
        <w:rPr>
          <w:rFonts w:ascii="Times New Roman" w:hAnsi="Times New Roman" w:cs="Times New Roman"/>
          <w:sz w:val="24"/>
          <w:szCs w:val="24"/>
        </w:rPr>
        <w:t>qRT</w:t>
      </w:r>
      <w:proofErr w:type="spellEnd"/>
      <w:r w:rsidR="0010300F">
        <w:rPr>
          <w:rFonts w:ascii="Times New Roman" w:hAnsi="Times New Roman" w:cs="Times New Roman"/>
          <w:sz w:val="24"/>
          <w:szCs w:val="24"/>
        </w:rPr>
        <w:t>-PCR)</w:t>
      </w:r>
      <w:r w:rsidR="000B44E3" w:rsidRPr="000B44E3">
        <w:rPr>
          <w:rFonts w:ascii="Times New Roman" w:hAnsi="Times New Roman" w:cs="Times New Roman"/>
          <w:sz w:val="24"/>
          <w:szCs w:val="24"/>
        </w:rPr>
        <w:t>, western blot</w:t>
      </w:r>
      <w:r w:rsidR="008B4887">
        <w:rPr>
          <w:rFonts w:ascii="Times New Roman" w:hAnsi="Times New Roman" w:cs="Times New Roman"/>
          <w:sz w:val="24"/>
          <w:szCs w:val="24"/>
        </w:rPr>
        <w:t>ting</w:t>
      </w:r>
      <w:r w:rsidR="000B44E3" w:rsidRPr="000B44E3">
        <w:rPr>
          <w:rFonts w:ascii="Times New Roman" w:hAnsi="Times New Roman" w:cs="Times New Roman"/>
          <w:sz w:val="24"/>
          <w:szCs w:val="24"/>
        </w:rPr>
        <w:t xml:space="preserve"> and sphere forming ability analyses</w:t>
      </w:r>
      <w:r w:rsidR="0010300F">
        <w:rPr>
          <w:rFonts w:ascii="Times New Roman" w:hAnsi="Times New Roman" w:cs="Times New Roman"/>
          <w:sz w:val="24"/>
          <w:szCs w:val="24"/>
        </w:rPr>
        <w:t xml:space="preserve"> were performed</w:t>
      </w:r>
      <w:r w:rsidR="000B44E3" w:rsidRPr="000B44E3">
        <w:rPr>
          <w:rFonts w:ascii="Times New Roman" w:hAnsi="Times New Roman" w:cs="Times New Roman"/>
          <w:sz w:val="24"/>
          <w:szCs w:val="24"/>
        </w:rPr>
        <w:t xml:space="preserve"> to access the effect of </w:t>
      </w:r>
      <w:r w:rsidR="008B4887" w:rsidRPr="0090403C">
        <w:rPr>
          <w:rFonts w:ascii="Times New Roman" w:hAnsi="Times New Roman" w:cs="Times New Roman"/>
          <w:sz w:val="24"/>
          <w:szCs w:val="24"/>
        </w:rPr>
        <w:t>CXCL12-CXCR4 axis</w:t>
      </w:r>
      <w:r w:rsidR="000B44E3" w:rsidRPr="000B44E3">
        <w:rPr>
          <w:rFonts w:ascii="Times New Roman" w:hAnsi="Times New Roman" w:cs="Times New Roman"/>
          <w:sz w:val="24"/>
          <w:szCs w:val="24"/>
        </w:rPr>
        <w:t xml:space="preserve"> on </w:t>
      </w:r>
      <w:r w:rsidR="008B4887">
        <w:rPr>
          <w:rFonts w:ascii="Times New Roman" w:hAnsi="Times New Roman" w:cs="Times New Roman"/>
          <w:sz w:val="24"/>
          <w:szCs w:val="24"/>
        </w:rPr>
        <w:t>GBM</w:t>
      </w:r>
      <w:r w:rsidR="000B44E3" w:rsidRPr="000B44E3">
        <w:rPr>
          <w:rFonts w:ascii="Times New Roman" w:hAnsi="Times New Roman" w:cs="Times New Roman"/>
          <w:sz w:val="24"/>
          <w:szCs w:val="24"/>
        </w:rPr>
        <w:t xml:space="preserve"> cell stemness </w:t>
      </w:r>
      <w:r w:rsidR="000B44E3" w:rsidRPr="008B4887">
        <w:rPr>
          <w:rFonts w:ascii="Times New Roman" w:hAnsi="Times New Roman" w:cs="Times New Roman"/>
          <w:i/>
          <w:iCs/>
          <w:sz w:val="24"/>
          <w:szCs w:val="24"/>
        </w:rPr>
        <w:t>in vitro</w:t>
      </w:r>
      <w:r w:rsidR="008B4887">
        <w:rPr>
          <w:rFonts w:ascii="Times New Roman" w:hAnsi="Times New Roman" w:cs="Times New Roman"/>
          <w:sz w:val="24"/>
          <w:szCs w:val="24"/>
        </w:rPr>
        <w:t xml:space="preserve"> and </w:t>
      </w:r>
      <w:r w:rsidR="008B4887" w:rsidRPr="008B4887">
        <w:rPr>
          <w:rFonts w:ascii="Times New Roman" w:hAnsi="Times New Roman" w:cs="Times New Roman"/>
          <w:i/>
          <w:iCs/>
          <w:sz w:val="24"/>
          <w:szCs w:val="24"/>
        </w:rPr>
        <w:t>vivo</w:t>
      </w:r>
      <w:r w:rsidR="000B44E3" w:rsidRPr="000B44E3">
        <w:rPr>
          <w:rFonts w:ascii="Times New Roman" w:hAnsi="Times New Roman" w:cs="Times New Roman"/>
          <w:sz w:val="24"/>
          <w:szCs w:val="24"/>
        </w:rPr>
        <w:t>.</w:t>
      </w:r>
      <w:r w:rsidR="00BB31F6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14:paraId="039DBCD1" w14:textId="4B10DCB9" w:rsidR="004C447F" w:rsidRPr="00C11ADA" w:rsidRDefault="008638AF" w:rsidP="005E06FB">
      <w:pPr>
        <w:rPr>
          <w:rFonts w:ascii="Times New Roman" w:hAnsi="Times New Roman" w:cs="Times New Roman"/>
          <w:sz w:val="24"/>
          <w:szCs w:val="24"/>
        </w:rPr>
      </w:pPr>
      <w:r w:rsidRPr="00F01E97">
        <w:rPr>
          <w:rFonts w:ascii="Times New Roman" w:hAnsi="Times New Roman" w:cs="Times New Roman"/>
          <w:b/>
          <w:bCs/>
          <w:sz w:val="24"/>
          <w:szCs w:val="24"/>
        </w:rPr>
        <w:t>Results:</w:t>
      </w:r>
      <w:r w:rsidR="0010300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0300F" w:rsidRPr="0010300F">
        <w:rPr>
          <w:rFonts w:ascii="Times New Roman" w:hAnsi="Times New Roman" w:cs="Times New Roman"/>
          <w:sz w:val="24"/>
          <w:szCs w:val="24"/>
        </w:rPr>
        <w:t>Compared with normal brain tissue, the expression of CXCL12-CXCR4 axis in glioma tissue was significantly increased</w:t>
      </w:r>
      <w:r w:rsidR="007A64DA" w:rsidRPr="007A64DA">
        <w:t xml:space="preserve"> </w:t>
      </w:r>
      <w:r w:rsidR="007A64DA" w:rsidRPr="007A64DA">
        <w:rPr>
          <w:rFonts w:ascii="Times New Roman" w:hAnsi="Times New Roman" w:cs="Times New Roman"/>
          <w:sz w:val="24"/>
          <w:szCs w:val="24"/>
        </w:rPr>
        <w:t>and was negatively correlated with the pathological grade of patients</w:t>
      </w:r>
      <w:r w:rsidR="0010300F" w:rsidRPr="0010300F">
        <w:rPr>
          <w:rFonts w:ascii="Times New Roman" w:hAnsi="Times New Roman" w:cs="Times New Roman"/>
          <w:sz w:val="24"/>
          <w:szCs w:val="24"/>
        </w:rPr>
        <w:t>.</w:t>
      </w:r>
      <w:r w:rsidR="0010300F">
        <w:rPr>
          <w:rFonts w:ascii="Times New Roman" w:hAnsi="Times New Roman" w:cs="Times New Roman"/>
          <w:sz w:val="24"/>
          <w:szCs w:val="24"/>
        </w:rPr>
        <w:t xml:space="preserve"> CXCL12-CXCR4</w:t>
      </w:r>
      <w:r w:rsidR="0010300F" w:rsidRPr="0010300F">
        <w:rPr>
          <w:rFonts w:ascii="Times New Roman" w:hAnsi="Times New Roman" w:cs="Times New Roman"/>
          <w:sz w:val="24"/>
          <w:szCs w:val="24"/>
        </w:rPr>
        <w:t xml:space="preserve"> axis </w:t>
      </w:r>
      <w:r w:rsidR="00E250ED">
        <w:rPr>
          <w:rFonts w:ascii="Times New Roman" w:hAnsi="Times New Roman" w:cs="Times New Roman"/>
          <w:sz w:val="24"/>
          <w:szCs w:val="24"/>
        </w:rPr>
        <w:t>was</w:t>
      </w:r>
      <w:r w:rsidR="0010300F" w:rsidRPr="0010300F">
        <w:rPr>
          <w:rFonts w:ascii="Times New Roman" w:hAnsi="Times New Roman" w:cs="Times New Roman"/>
          <w:sz w:val="24"/>
          <w:szCs w:val="24"/>
        </w:rPr>
        <w:t xml:space="preserve"> positively correlated with stem-related gene expression levels</w:t>
      </w:r>
      <w:r w:rsidR="0010300F">
        <w:rPr>
          <w:rFonts w:ascii="Times New Roman" w:hAnsi="Times New Roman" w:cs="Times New Roman"/>
          <w:sz w:val="24"/>
          <w:szCs w:val="24"/>
        </w:rPr>
        <w:t xml:space="preserve"> in GBM</w:t>
      </w:r>
      <w:r w:rsidR="0010300F" w:rsidRPr="0010300F">
        <w:rPr>
          <w:rFonts w:ascii="Times New Roman" w:hAnsi="Times New Roman" w:cs="Times New Roman"/>
          <w:sz w:val="24"/>
          <w:szCs w:val="24"/>
        </w:rPr>
        <w:t>.</w:t>
      </w:r>
      <w:r w:rsidR="001030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35A4">
        <w:rPr>
          <w:rFonts w:ascii="Times New Roman" w:hAnsi="Times New Roman" w:cs="Times New Roman"/>
          <w:sz w:val="24"/>
          <w:szCs w:val="24"/>
        </w:rPr>
        <w:t>qRT</w:t>
      </w:r>
      <w:proofErr w:type="spellEnd"/>
      <w:r w:rsidR="009835A4">
        <w:rPr>
          <w:rFonts w:ascii="Times New Roman" w:hAnsi="Times New Roman" w:cs="Times New Roman"/>
          <w:sz w:val="24"/>
          <w:szCs w:val="24"/>
        </w:rPr>
        <w:t>-PCR</w:t>
      </w:r>
      <w:r w:rsidR="009835A4" w:rsidRPr="000B44E3">
        <w:rPr>
          <w:rFonts w:ascii="Times New Roman" w:hAnsi="Times New Roman" w:cs="Times New Roman"/>
          <w:sz w:val="24"/>
          <w:szCs w:val="24"/>
        </w:rPr>
        <w:t>, western blot</w:t>
      </w:r>
      <w:r w:rsidR="009835A4">
        <w:rPr>
          <w:rFonts w:ascii="Times New Roman" w:hAnsi="Times New Roman" w:cs="Times New Roman"/>
          <w:sz w:val="24"/>
          <w:szCs w:val="24"/>
        </w:rPr>
        <w:t>ting</w:t>
      </w:r>
      <w:r w:rsidR="009835A4" w:rsidRPr="000B44E3">
        <w:rPr>
          <w:rFonts w:ascii="Times New Roman" w:hAnsi="Times New Roman" w:cs="Times New Roman"/>
          <w:sz w:val="24"/>
          <w:szCs w:val="24"/>
        </w:rPr>
        <w:t xml:space="preserve"> and sphere forming ability analyses</w:t>
      </w:r>
      <w:r w:rsidR="009835A4">
        <w:rPr>
          <w:rFonts w:ascii="Times New Roman" w:hAnsi="Times New Roman" w:cs="Times New Roman"/>
          <w:sz w:val="24"/>
          <w:szCs w:val="24"/>
        </w:rPr>
        <w:t xml:space="preserve"> </w:t>
      </w:r>
      <w:r w:rsidR="009835A4" w:rsidRPr="009835A4">
        <w:rPr>
          <w:rFonts w:ascii="Times New Roman" w:hAnsi="Times New Roman" w:cs="Times New Roman"/>
          <w:sz w:val="24"/>
          <w:szCs w:val="24"/>
        </w:rPr>
        <w:t>illustrate</w:t>
      </w:r>
      <w:r w:rsidR="00E250ED">
        <w:rPr>
          <w:rFonts w:ascii="Times New Roman" w:hAnsi="Times New Roman" w:cs="Times New Roman"/>
          <w:sz w:val="24"/>
          <w:szCs w:val="24"/>
        </w:rPr>
        <w:t>d</w:t>
      </w:r>
      <w:r w:rsidR="009835A4">
        <w:rPr>
          <w:rFonts w:ascii="Times New Roman" w:hAnsi="Times New Roman" w:cs="Times New Roman"/>
          <w:sz w:val="24"/>
          <w:szCs w:val="24"/>
        </w:rPr>
        <w:t xml:space="preserve"> that</w:t>
      </w:r>
      <w:r w:rsidR="009835A4" w:rsidRPr="009835A4">
        <w:rPr>
          <w:rFonts w:ascii="Times New Roman" w:hAnsi="Times New Roman" w:cs="Times New Roman"/>
          <w:sz w:val="24"/>
          <w:szCs w:val="24"/>
        </w:rPr>
        <w:t xml:space="preserve"> </w:t>
      </w:r>
      <w:r w:rsidR="009835A4">
        <w:rPr>
          <w:rFonts w:ascii="Times New Roman" w:hAnsi="Times New Roman" w:cs="Times New Roman"/>
          <w:sz w:val="24"/>
          <w:szCs w:val="24"/>
        </w:rPr>
        <w:t xml:space="preserve">CXCL12-CXCR4 axis </w:t>
      </w:r>
      <w:r w:rsidR="009835A4" w:rsidRPr="008638AF">
        <w:rPr>
          <w:rFonts w:ascii="Times New Roman" w:hAnsi="Times New Roman" w:cs="Times New Roman"/>
          <w:sz w:val="24"/>
          <w:szCs w:val="24"/>
        </w:rPr>
        <w:t>maintain</w:t>
      </w:r>
      <w:r w:rsidR="00E250ED">
        <w:rPr>
          <w:rFonts w:ascii="Times New Roman" w:hAnsi="Times New Roman" w:cs="Times New Roman"/>
          <w:sz w:val="24"/>
          <w:szCs w:val="24"/>
        </w:rPr>
        <w:t>ed</w:t>
      </w:r>
      <w:r w:rsidR="009835A4" w:rsidRPr="008638AF">
        <w:rPr>
          <w:rFonts w:ascii="Times New Roman" w:hAnsi="Times New Roman" w:cs="Times New Roman"/>
          <w:sz w:val="24"/>
          <w:szCs w:val="24"/>
        </w:rPr>
        <w:t xml:space="preserve"> stemness </w:t>
      </w:r>
      <w:r w:rsidR="00E250ED" w:rsidRPr="008638AF">
        <w:rPr>
          <w:rFonts w:ascii="Times New Roman" w:hAnsi="Times New Roman" w:cs="Times New Roman"/>
          <w:sz w:val="24"/>
          <w:szCs w:val="24"/>
        </w:rPr>
        <w:t xml:space="preserve">self-renewal </w:t>
      </w:r>
      <w:r w:rsidR="009835A4" w:rsidRPr="008638AF">
        <w:rPr>
          <w:rFonts w:ascii="Times New Roman" w:hAnsi="Times New Roman" w:cs="Times New Roman"/>
          <w:sz w:val="24"/>
          <w:szCs w:val="24"/>
        </w:rPr>
        <w:t xml:space="preserve">and </w:t>
      </w:r>
      <w:r w:rsidR="004C447F">
        <w:rPr>
          <w:rFonts w:ascii="Times New Roman" w:hAnsi="Times New Roman" w:cs="Times New Roman"/>
          <w:sz w:val="24"/>
          <w:szCs w:val="24"/>
        </w:rPr>
        <w:t>promoted</w:t>
      </w:r>
      <w:r w:rsidR="004C447F" w:rsidRPr="004C447F">
        <w:rPr>
          <w:rFonts w:ascii="Times New Roman" w:hAnsi="Times New Roman" w:cs="Times New Roman"/>
          <w:sz w:val="24"/>
          <w:szCs w:val="24"/>
        </w:rPr>
        <w:t xml:space="preserve"> </w:t>
      </w:r>
      <w:r w:rsidR="004C447F">
        <w:rPr>
          <w:rFonts w:ascii="Times New Roman" w:hAnsi="Times New Roman" w:cs="Times New Roman"/>
          <w:sz w:val="24"/>
          <w:szCs w:val="24"/>
        </w:rPr>
        <w:t>p</w:t>
      </w:r>
      <w:r w:rsidR="004C447F" w:rsidRPr="004C447F">
        <w:rPr>
          <w:rFonts w:ascii="Times New Roman" w:hAnsi="Times New Roman" w:cs="Times New Roman"/>
          <w:sz w:val="24"/>
          <w:szCs w:val="24"/>
        </w:rPr>
        <w:t>roliferation and metastasis</w:t>
      </w:r>
      <w:r w:rsidR="004C447F">
        <w:rPr>
          <w:rFonts w:ascii="Times New Roman" w:hAnsi="Times New Roman" w:cs="Times New Roman"/>
          <w:sz w:val="24"/>
          <w:szCs w:val="24"/>
        </w:rPr>
        <w:t xml:space="preserve"> of</w:t>
      </w:r>
      <w:r w:rsidR="009835A4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9835A4">
        <w:rPr>
          <w:rFonts w:ascii="Times New Roman" w:hAnsi="Times New Roman" w:cs="Times New Roman"/>
          <w:sz w:val="24"/>
          <w:szCs w:val="24"/>
        </w:rPr>
        <w:t>glioma</w:t>
      </w:r>
      <w:r w:rsidR="009835A4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9835A4" w:rsidRPr="008638AF">
        <w:rPr>
          <w:rFonts w:ascii="Times New Roman" w:hAnsi="Times New Roman" w:cs="Times New Roman"/>
          <w:sz w:val="24"/>
          <w:szCs w:val="24"/>
        </w:rPr>
        <w:t xml:space="preserve">cell </w:t>
      </w:r>
      <w:r w:rsidR="009835A4" w:rsidRPr="008B4887">
        <w:rPr>
          <w:rFonts w:ascii="Times New Roman" w:hAnsi="Times New Roman" w:cs="Times New Roman"/>
          <w:i/>
          <w:iCs/>
          <w:sz w:val="24"/>
          <w:szCs w:val="24"/>
        </w:rPr>
        <w:t>in vitro</w:t>
      </w:r>
      <w:r w:rsidR="009835A4">
        <w:rPr>
          <w:rFonts w:ascii="Times New Roman" w:hAnsi="Times New Roman" w:cs="Times New Roman"/>
          <w:sz w:val="24"/>
          <w:szCs w:val="24"/>
        </w:rPr>
        <w:t xml:space="preserve"> and </w:t>
      </w:r>
      <w:r w:rsidR="009835A4" w:rsidRPr="008B4887">
        <w:rPr>
          <w:rFonts w:ascii="Times New Roman" w:hAnsi="Times New Roman" w:cs="Times New Roman"/>
          <w:i/>
          <w:iCs/>
          <w:sz w:val="24"/>
          <w:szCs w:val="24"/>
        </w:rPr>
        <w:t>vivo</w:t>
      </w:r>
      <w:r w:rsidR="009835A4">
        <w:rPr>
          <w:rFonts w:ascii="Times New Roman" w:hAnsi="Times New Roman" w:cs="Times New Roman"/>
          <w:sz w:val="24"/>
          <w:szCs w:val="24"/>
        </w:rPr>
        <w:t>.</w:t>
      </w:r>
      <w:r w:rsidR="007A64DA">
        <w:rPr>
          <w:rFonts w:ascii="Times New Roman" w:hAnsi="Times New Roman" w:cs="Times New Roman"/>
          <w:sz w:val="24"/>
          <w:szCs w:val="24"/>
        </w:rPr>
        <w:t xml:space="preserve"> A</w:t>
      </w:r>
      <w:r w:rsidR="00C11ADA">
        <w:rPr>
          <w:rFonts w:ascii="Times New Roman" w:hAnsi="Times New Roman" w:cs="Times New Roman"/>
          <w:sz w:val="24"/>
          <w:szCs w:val="24"/>
        </w:rPr>
        <w:t>fter treatment of plerixafor, s</w:t>
      </w:r>
      <w:r w:rsidR="00C11ADA" w:rsidRPr="00C11ADA">
        <w:rPr>
          <w:rFonts w:ascii="Times New Roman" w:hAnsi="Times New Roman" w:cs="Times New Roman"/>
          <w:sz w:val="24"/>
          <w:szCs w:val="24"/>
        </w:rPr>
        <w:t>elective CXCR4 antagonist</w:t>
      </w:r>
      <w:r w:rsidR="00C11ADA">
        <w:rPr>
          <w:rFonts w:ascii="Times New Roman" w:hAnsi="Times New Roman" w:cs="Times New Roman"/>
          <w:sz w:val="24"/>
          <w:szCs w:val="24"/>
        </w:rPr>
        <w:t>, g</w:t>
      </w:r>
      <w:r w:rsidR="00C11ADA" w:rsidRPr="00C11ADA">
        <w:rPr>
          <w:rFonts w:ascii="Times New Roman" w:hAnsi="Times New Roman" w:cs="Times New Roman"/>
          <w:sz w:val="24"/>
          <w:szCs w:val="24"/>
        </w:rPr>
        <w:t xml:space="preserve">lioma cell stemness </w:t>
      </w:r>
      <w:r w:rsidR="00C11ADA">
        <w:rPr>
          <w:rFonts w:ascii="Times New Roman" w:hAnsi="Times New Roman" w:cs="Times New Roman"/>
          <w:sz w:val="24"/>
          <w:szCs w:val="24"/>
        </w:rPr>
        <w:t>was</w:t>
      </w:r>
      <w:r w:rsidR="00C11ADA" w:rsidRPr="00C11ADA">
        <w:rPr>
          <w:rFonts w:ascii="Times New Roman" w:hAnsi="Times New Roman" w:cs="Times New Roman"/>
          <w:sz w:val="24"/>
          <w:szCs w:val="24"/>
        </w:rPr>
        <w:t xml:space="preserve"> effectively inhibited</w:t>
      </w:r>
      <w:r w:rsidR="00C11ADA">
        <w:rPr>
          <w:rFonts w:ascii="Times New Roman" w:hAnsi="Times New Roman" w:cs="Times New Roman"/>
          <w:sz w:val="24"/>
          <w:szCs w:val="24"/>
        </w:rPr>
        <w:t>.</w:t>
      </w:r>
    </w:p>
    <w:p w14:paraId="66E857B5" w14:textId="3EAD24B9" w:rsidR="0090403C" w:rsidRDefault="00EA3FAD" w:rsidP="005E06FB">
      <w:pPr>
        <w:rPr>
          <w:rFonts w:ascii="Times New Roman" w:hAnsi="Times New Roman" w:cs="Times New Roman"/>
          <w:sz w:val="24"/>
          <w:szCs w:val="24"/>
        </w:rPr>
      </w:pPr>
      <w:r w:rsidRPr="00F01E97">
        <w:rPr>
          <w:rFonts w:ascii="Times New Roman" w:hAnsi="Times New Roman" w:cs="Times New Roman"/>
          <w:b/>
          <w:bCs/>
          <w:sz w:val="24"/>
          <w:szCs w:val="24"/>
        </w:rPr>
        <w:t>Conclusion:</w:t>
      </w:r>
      <w:r w:rsidR="003F7B5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0403C" w:rsidRPr="0090403C">
        <w:rPr>
          <w:rFonts w:ascii="Times New Roman" w:hAnsi="Times New Roman" w:cs="Times New Roman"/>
          <w:sz w:val="24"/>
          <w:szCs w:val="24"/>
        </w:rPr>
        <w:t xml:space="preserve">CXCL12-CXCR4 axis promotes the malignant transformation of tumors by promoting </w:t>
      </w:r>
      <w:r w:rsidR="0090403C">
        <w:rPr>
          <w:rFonts w:ascii="Times New Roman" w:hAnsi="Times New Roman" w:cs="Times New Roman"/>
          <w:sz w:val="24"/>
          <w:szCs w:val="24"/>
        </w:rPr>
        <w:t>cell stemness</w:t>
      </w:r>
      <w:r w:rsidR="0090403C" w:rsidRPr="0090403C">
        <w:rPr>
          <w:rFonts w:ascii="Times New Roman" w:hAnsi="Times New Roman" w:cs="Times New Roman"/>
          <w:sz w:val="24"/>
          <w:szCs w:val="24"/>
        </w:rPr>
        <w:t>, which provides new targets and evidence for targeted therapy of glioblastoma.</w:t>
      </w:r>
    </w:p>
    <w:p w14:paraId="6DCD5213" w14:textId="77777777" w:rsidR="0090403C" w:rsidRDefault="0090403C" w:rsidP="005E06FB">
      <w:pPr>
        <w:rPr>
          <w:rFonts w:ascii="Times New Roman" w:hAnsi="Times New Roman" w:cs="Times New Roman"/>
          <w:sz w:val="24"/>
          <w:szCs w:val="24"/>
        </w:rPr>
      </w:pPr>
    </w:p>
    <w:p w14:paraId="07DC6BF9" w14:textId="77777777" w:rsidR="00701B99" w:rsidRDefault="00701B99" w:rsidP="00701B99">
      <w:pPr>
        <w:rPr>
          <w:rFonts w:ascii="Times New Roman" w:hAnsi="Times New Roman" w:cs="Times New Roman"/>
          <w:b/>
          <w:bCs/>
          <w:color w:val="000000" w:themeColor="text1"/>
          <w:sz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</w:rPr>
        <w:t>Reference</w:t>
      </w:r>
      <w:r w:rsidRPr="002D2D48">
        <w:rPr>
          <w:rFonts w:ascii="Times New Roman" w:hAnsi="Times New Roman" w:cs="Times New Roman"/>
          <w:b/>
          <w:bCs/>
          <w:color w:val="000000" w:themeColor="text1"/>
          <w:sz w:val="24"/>
        </w:rPr>
        <w:t>:</w:t>
      </w:r>
    </w:p>
    <w:p w14:paraId="4FD5EDAD" w14:textId="4A6AB1AC" w:rsidR="00E7272B" w:rsidRDefault="00005B0F" w:rsidP="00AA7BCE">
      <w:pPr>
        <w:pStyle w:val="a5"/>
        <w:numPr>
          <w:ilvl w:val="0"/>
          <w:numId w:val="2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005B0F">
        <w:rPr>
          <w:rFonts w:ascii="Times New Roman" w:hAnsi="Times New Roman" w:cs="Times New Roman"/>
          <w:sz w:val="24"/>
          <w:szCs w:val="24"/>
        </w:rPr>
        <w:t>Schulte A, Günther HS, Phillips HS</w:t>
      </w:r>
      <w:r>
        <w:rPr>
          <w:rFonts w:ascii="Times New Roman" w:hAnsi="Times New Roman" w:cs="Times New Roman"/>
          <w:sz w:val="24"/>
          <w:szCs w:val="24"/>
        </w:rPr>
        <w:t>, et al.</w:t>
      </w:r>
      <w:r w:rsidRPr="00005B0F">
        <w:t xml:space="preserve"> </w:t>
      </w:r>
      <w:r w:rsidRPr="00005B0F">
        <w:rPr>
          <w:rFonts w:ascii="Times New Roman" w:hAnsi="Times New Roman" w:cs="Times New Roman"/>
          <w:sz w:val="24"/>
          <w:szCs w:val="24"/>
        </w:rPr>
        <w:t>A distinct subset of glioma cell lines with stem cell-like properties reflects the transcriptional phenotype of glioblastomas and overexpresses CXCR4 as therapeutic target.</w:t>
      </w:r>
      <w:r w:rsidRPr="00005B0F">
        <w:t xml:space="preserve"> </w:t>
      </w:r>
      <w:r w:rsidRPr="00005B0F">
        <w:rPr>
          <w:rFonts w:ascii="Times New Roman" w:hAnsi="Times New Roman" w:cs="Times New Roman"/>
          <w:sz w:val="24"/>
          <w:szCs w:val="24"/>
        </w:rPr>
        <w:t xml:space="preserve">Glia. 2011 Apr;59(4):590-602. </w:t>
      </w:r>
      <w:proofErr w:type="spellStart"/>
      <w:r w:rsidRPr="00005B0F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005B0F">
        <w:rPr>
          <w:rFonts w:ascii="Times New Roman" w:hAnsi="Times New Roman" w:cs="Times New Roman"/>
          <w:sz w:val="24"/>
          <w:szCs w:val="24"/>
        </w:rPr>
        <w:t>: 10.1002/glia.21127.</w:t>
      </w:r>
    </w:p>
    <w:p w14:paraId="7A2EF616" w14:textId="4170C58D" w:rsidR="00005B0F" w:rsidRDefault="00005B0F" w:rsidP="00AA7BCE">
      <w:pPr>
        <w:pStyle w:val="a5"/>
        <w:numPr>
          <w:ilvl w:val="0"/>
          <w:numId w:val="2"/>
        </w:numPr>
        <w:ind w:firstLineChars="0"/>
        <w:rPr>
          <w:rFonts w:ascii="Times New Roman" w:hAnsi="Times New Roman" w:cs="Times New Roman"/>
          <w:sz w:val="24"/>
          <w:szCs w:val="24"/>
        </w:rPr>
      </w:pPr>
      <w:proofErr w:type="spellStart"/>
      <w:r w:rsidRPr="00005B0F">
        <w:rPr>
          <w:rFonts w:ascii="Times New Roman" w:hAnsi="Times New Roman" w:cs="Times New Roman"/>
          <w:sz w:val="24"/>
          <w:szCs w:val="24"/>
        </w:rPr>
        <w:t>Fareh</w:t>
      </w:r>
      <w:proofErr w:type="spellEnd"/>
      <w:r w:rsidRPr="00005B0F">
        <w:rPr>
          <w:rFonts w:ascii="Times New Roman" w:hAnsi="Times New Roman" w:cs="Times New Roman"/>
          <w:sz w:val="24"/>
          <w:szCs w:val="24"/>
        </w:rPr>
        <w:t xml:space="preserve"> M, </w:t>
      </w:r>
      <w:proofErr w:type="spellStart"/>
      <w:r w:rsidRPr="00005B0F">
        <w:rPr>
          <w:rFonts w:ascii="Times New Roman" w:hAnsi="Times New Roman" w:cs="Times New Roman"/>
          <w:sz w:val="24"/>
          <w:szCs w:val="24"/>
        </w:rPr>
        <w:t>Turchi</w:t>
      </w:r>
      <w:proofErr w:type="spellEnd"/>
      <w:r w:rsidRPr="00005B0F">
        <w:rPr>
          <w:rFonts w:ascii="Times New Roman" w:hAnsi="Times New Roman" w:cs="Times New Roman"/>
          <w:sz w:val="24"/>
          <w:szCs w:val="24"/>
        </w:rPr>
        <w:t xml:space="preserve"> L, </w:t>
      </w:r>
      <w:proofErr w:type="spellStart"/>
      <w:r w:rsidRPr="00005B0F">
        <w:rPr>
          <w:rFonts w:ascii="Times New Roman" w:hAnsi="Times New Roman" w:cs="Times New Roman"/>
          <w:sz w:val="24"/>
          <w:szCs w:val="24"/>
        </w:rPr>
        <w:t>Virolle</w:t>
      </w:r>
      <w:proofErr w:type="spellEnd"/>
      <w:r w:rsidRPr="00005B0F">
        <w:rPr>
          <w:rFonts w:ascii="Times New Roman" w:hAnsi="Times New Roman" w:cs="Times New Roman"/>
          <w:sz w:val="24"/>
          <w:szCs w:val="24"/>
        </w:rPr>
        <w:t xml:space="preserve"> V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05B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et al.</w:t>
      </w:r>
      <w:r w:rsidRPr="00005B0F">
        <w:t xml:space="preserve"> </w:t>
      </w:r>
      <w:r w:rsidRPr="00005B0F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005B0F">
        <w:rPr>
          <w:rFonts w:ascii="Times New Roman" w:hAnsi="Times New Roman" w:cs="Times New Roman"/>
          <w:sz w:val="24"/>
          <w:szCs w:val="24"/>
        </w:rPr>
        <w:t>miR</w:t>
      </w:r>
      <w:proofErr w:type="spellEnd"/>
      <w:r w:rsidRPr="00005B0F">
        <w:rPr>
          <w:rFonts w:ascii="Times New Roman" w:hAnsi="Times New Roman" w:cs="Times New Roman"/>
          <w:sz w:val="24"/>
          <w:szCs w:val="24"/>
        </w:rPr>
        <w:t xml:space="preserve"> 302-367 cluster drastically affects self-renewal and infiltration properties of glioma-initiating cells through CXCR4 repression and consequent disruption of the SHH-GLI-NANOG network.</w:t>
      </w:r>
      <w:r w:rsidRPr="00005B0F">
        <w:t xml:space="preserve"> </w:t>
      </w:r>
      <w:r w:rsidRPr="00005B0F">
        <w:rPr>
          <w:rFonts w:ascii="Times New Roman" w:hAnsi="Times New Roman" w:cs="Times New Roman"/>
          <w:sz w:val="24"/>
          <w:szCs w:val="24"/>
        </w:rPr>
        <w:t xml:space="preserve">Cell Death Differ. 2012 Feb;19(2):232-44. </w:t>
      </w:r>
      <w:proofErr w:type="spellStart"/>
      <w:r w:rsidRPr="00005B0F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005B0F">
        <w:rPr>
          <w:rFonts w:ascii="Times New Roman" w:hAnsi="Times New Roman" w:cs="Times New Roman"/>
          <w:sz w:val="24"/>
          <w:szCs w:val="24"/>
        </w:rPr>
        <w:t>: 10.1038/cdd.2011.89.</w:t>
      </w:r>
    </w:p>
    <w:p w14:paraId="1E5788D8" w14:textId="7DCAB8C3" w:rsidR="00005B0F" w:rsidRPr="00AA7BCE" w:rsidRDefault="00005B0F" w:rsidP="00AA7BCE">
      <w:pPr>
        <w:pStyle w:val="a5"/>
        <w:numPr>
          <w:ilvl w:val="0"/>
          <w:numId w:val="2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005B0F">
        <w:rPr>
          <w:rFonts w:ascii="Times New Roman" w:hAnsi="Times New Roman" w:cs="Times New Roman"/>
          <w:sz w:val="24"/>
          <w:szCs w:val="24"/>
        </w:rPr>
        <w:t>Chen Y, Liu P, Sun P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05B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et al.</w:t>
      </w:r>
      <w:r w:rsidRPr="00005B0F">
        <w:t xml:space="preserve"> </w:t>
      </w:r>
      <w:r w:rsidRPr="00005B0F">
        <w:rPr>
          <w:rFonts w:ascii="Times New Roman" w:hAnsi="Times New Roman" w:cs="Times New Roman"/>
          <w:sz w:val="24"/>
          <w:szCs w:val="24"/>
        </w:rPr>
        <w:t>Oncogenic MSH6-CXCR4-TGFB1 Feedback Loop: A Novel Therapeutic Target of Photothermal Therapy in Glioblastoma Multiforme.</w:t>
      </w:r>
      <w:r w:rsidRPr="00005B0F">
        <w:t xml:space="preserve"> </w:t>
      </w:r>
      <w:proofErr w:type="spellStart"/>
      <w:r w:rsidRPr="00005B0F">
        <w:rPr>
          <w:rFonts w:ascii="Times New Roman" w:hAnsi="Times New Roman" w:cs="Times New Roman"/>
          <w:sz w:val="24"/>
          <w:szCs w:val="24"/>
        </w:rPr>
        <w:t>Theranostics</w:t>
      </w:r>
      <w:proofErr w:type="spellEnd"/>
      <w:r w:rsidRPr="00005B0F">
        <w:rPr>
          <w:rFonts w:ascii="Times New Roman" w:hAnsi="Times New Roman" w:cs="Times New Roman"/>
          <w:sz w:val="24"/>
          <w:szCs w:val="24"/>
        </w:rPr>
        <w:t xml:space="preserve">. 2019 Feb 20;9(5):1453-1473. </w:t>
      </w:r>
      <w:proofErr w:type="spellStart"/>
      <w:r w:rsidRPr="00005B0F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005B0F">
        <w:rPr>
          <w:rFonts w:ascii="Times New Roman" w:hAnsi="Times New Roman" w:cs="Times New Roman"/>
          <w:sz w:val="24"/>
          <w:szCs w:val="24"/>
        </w:rPr>
        <w:t>: 10.7150/thno.29987.</w:t>
      </w:r>
      <w:bookmarkStart w:id="1" w:name="_GoBack"/>
      <w:bookmarkEnd w:id="1"/>
    </w:p>
    <w:sectPr w:rsidR="00005B0F" w:rsidRPr="00AA7BCE" w:rsidSect="005F445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23F7DF" w14:textId="77777777" w:rsidR="009572A8" w:rsidRDefault="009572A8" w:rsidP="000F1DD5">
      <w:r>
        <w:separator/>
      </w:r>
    </w:p>
  </w:endnote>
  <w:endnote w:type="continuationSeparator" w:id="0">
    <w:p w14:paraId="57C8B310" w14:textId="77777777" w:rsidR="009572A8" w:rsidRDefault="009572A8" w:rsidP="000F1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6C0392" w14:textId="77777777" w:rsidR="009572A8" w:rsidRDefault="009572A8" w:rsidP="000F1DD5">
      <w:r>
        <w:separator/>
      </w:r>
    </w:p>
  </w:footnote>
  <w:footnote w:type="continuationSeparator" w:id="0">
    <w:p w14:paraId="77AF10E7" w14:textId="77777777" w:rsidR="009572A8" w:rsidRDefault="009572A8" w:rsidP="000F1D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F5301"/>
    <w:multiLevelType w:val="hybridMultilevel"/>
    <w:tmpl w:val="2556E13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F927D02"/>
    <w:multiLevelType w:val="hybridMultilevel"/>
    <w:tmpl w:val="3AB22F6A"/>
    <w:lvl w:ilvl="0" w:tplc="FCDC43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0F84"/>
    <w:rsid w:val="00002F28"/>
    <w:rsid w:val="00005B0F"/>
    <w:rsid w:val="0002464E"/>
    <w:rsid w:val="000279B6"/>
    <w:rsid w:val="000B44E3"/>
    <w:rsid w:val="000D5757"/>
    <w:rsid w:val="000F1DD5"/>
    <w:rsid w:val="0010300F"/>
    <w:rsid w:val="00133BF9"/>
    <w:rsid w:val="00182851"/>
    <w:rsid w:val="00192BDB"/>
    <w:rsid w:val="001A4689"/>
    <w:rsid w:val="001D722B"/>
    <w:rsid w:val="001E0340"/>
    <w:rsid w:val="00213C69"/>
    <w:rsid w:val="00221C20"/>
    <w:rsid w:val="002359D2"/>
    <w:rsid w:val="002735AE"/>
    <w:rsid w:val="0030724F"/>
    <w:rsid w:val="0031342B"/>
    <w:rsid w:val="00317292"/>
    <w:rsid w:val="00365808"/>
    <w:rsid w:val="003F7B5B"/>
    <w:rsid w:val="004A4933"/>
    <w:rsid w:val="004C447F"/>
    <w:rsid w:val="004C6292"/>
    <w:rsid w:val="004D3CF0"/>
    <w:rsid w:val="004F2EC1"/>
    <w:rsid w:val="0058722F"/>
    <w:rsid w:val="005E06FB"/>
    <w:rsid w:val="005F4456"/>
    <w:rsid w:val="006A335E"/>
    <w:rsid w:val="00701B99"/>
    <w:rsid w:val="00720AF3"/>
    <w:rsid w:val="00761157"/>
    <w:rsid w:val="007A64DA"/>
    <w:rsid w:val="00804685"/>
    <w:rsid w:val="00815AE1"/>
    <w:rsid w:val="008638AF"/>
    <w:rsid w:val="008B4887"/>
    <w:rsid w:val="008C45C9"/>
    <w:rsid w:val="0090403C"/>
    <w:rsid w:val="009572A8"/>
    <w:rsid w:val="0097013B"/>
    <w:rsid w:val="009835A4"/>
    <w:rsid w:val="00A024BD"/>
    <w:rsid w:val="00AA7BCE"/>
    <w:rsid w:val="00B748FB"/>
    <w:rsid w:val="00BB31F6"/>
    <w:rsid w:val="00C11ADA"/>
    <w:rsid w:val="00C42692"/>
    <w:rsid w:val="00C448EE"/>
    <w:rsid w:val="00C909D9"/>
    <w:rsid w:val="00CF1918"/>
    <w:rsid w:val="00D10F84"/>
    <w:rsid w:val="00D35B79"/>
    <w:rsid w:val="00D36D24"/>
    <w:rsid w:val="00D40386"/>
    <w:rsid w:val="00DC5A72"/>
    <w:rsid w:val="00E250ED"/>
    <w:rsid w:val="00E7272B"/>
    <w:rsid w:val="00E7710A"/>
    <w:rsid w:val="00EA3FAD"/>
    <w:rsid w:val="00F01E97"/>
    <w:rsid w:val="00F849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D75097"/>
  <w15:docId w15:val="{3878C2E2-457B-48BD-9B19-2A2AFC5AB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445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E7272B"/>
    <w:pPr>
      <w:jc w:val="left"/>
    </w:pPr>
    <w:rPr>
      <w:rFonts w:ascii="Tw Cen MT" w:eastAsia="Tw Cen MT" w:hAnsi="Tw Cen MT" w:cs="Tw Cen MT"/>
      <w:kern w:val="0"/>
      <w:sz w:val="18"/>
      <w:szCs w:val="18"/>
      <w:lang w:eastAsia="en-US"/>
    </w:rPr>
  </w:style>
  <w:style w:type="character" w:customStyle="1" w:styleId="a4">
    <w:name w:val="正文文本 字符"/>
    <w:basedOn w:val="a0"/>
    <w:link w:val="a3"/>
    <w:uiPriority w:val="1"/>
    <w:rsid w:val="00E7272B"/>
    <w:rPr>
      <w:rFonts w:ascii="Tw Cen MT" w:eastAsia="Tw Cen MT" w:hAnsi="Tw Cen MT" w:cs="Tw Cen MT"/>
      <w:kern w:val="0"/>
      <w:sz w:val="18"/>
      <w:szCs w:val="18"/>
      <w:lang w:eastAsia="en-US"/>
    </w:rPr>
  </w:style>
  <w:style w:type="paragraph" w:styleId="a5">
    <w:name w:val="List Paragraph"/>
    <w:basedOn w:val="a"/>
    <w:uiPriority w:val="34"/>
    <w:qFormat/>
    <w:rsid w:val="00B748FB"/>
    <w:pPr>
      <w:ind w:firstLineChars="200" w:firstLine="420"/>
    </w:pPr>
  </w:style>
  <w:style w:type="paragraph" w:styleId="a6">
    <w:name w:val="header"/>
    <w:basedOn w:val="a"/>
    <w:link w:val="a7"/>
    <w:uiPriority w:val="99"/>
    <w:semiHidden/>
    <w:unhideWhenUsed/>
    <w:rsid w:val="000F1D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semiHidden/>
    <w:rsid w:val="000F1DD5"/>
    <w:rPr>
      <w:sz w:val="18"/>
      <w:szCs w:val="18"/>
    </w:rPr>
  </w:style>
  <w:style w:type="paragraph" w:styleId="a8">
    <w:name w:val="footer"/>
    <w:basedOn w:val="a"/>
    <w:link w:val="a9"/>
    <w:uiPriority w:val="99"/>
    <w:semiHidden/>
    <w:unhideWhenUsed/>
    <w:rsid w:val="000F1D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semiHidden/>
    <w:rsid w:val="000F1DD5"/>
    <w:rPr>
      <w:sz w:val="18"/>
      <w:szCs w:val="18"/>
    </w:rPr>
  </w:style>
  <w:style w:type="paragraph" w:styleId="aa">
    <w:name w:val="Balloon Text"/>
    <w:basedOn w:val="a"/>
    <w:link w:val="ab"/>
    <w:uiPriority w:val="99"/>
    <w:semiHidden/>
    <w:unhideWhenUsed/>
    <w:rsid w:val="0090403C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90403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808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9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4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402</Words>
  <Characters>2294</Characters>
  <Application>Microsoft Office Word</Application>
  <DocSecurity>0</DocSecurity>
  <Lines>19</Lines>
  <Paragraphs>5</Paragraphs>
  <ScaleCrop>false</ScaleCrop>
  <Company/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晓晓 杨</dc:creator>
  <cp:keywords/>
  <dc:description/>
  <cp:lastModifiedBy>晓晓 杨</cp:lastModifiedBy>
  <cp:revision>51</cp:revision>
  <dcterms:created xsi:type="dcterms:W3CDTF">2020-02-01T14:12:00Z</dcterms:created>
  <dcterms:modified xsi:type="dcterms:W3CDTF">2020-02-19T08:15:00Z</dcterms:modified>
</cp:coreProperties>
</file>