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89D" w:rsidRPr="00630432" w:rsidRDefault="00D0389D" w:rsidP="00D0389D">
      <w:pPr>
        <w:pStyle w:val="BodyText"/>
        <w:spacing w:line="480" w:lineRule="auto"/>
        <w:rPr>
          <w:rFonts w:ascii="Minion Pro" w:hAnsi="Minion Pro"/>
          <w:b/>
          <w:bCs/>
          <w:sz w:val="36"/>
          <w:szCs w:val="36"/>
        </w:rPr>
      </w:pPr>
      <w:r w:rsidRPr="00630432">
        <w:rPr>
          <w:rFonts w:ascii="Minion Pro" w:hAnsi="Minion Pro"/>
          <w:b/>
          <w:bCs/>
          <w:sz w:val="36"/>
          <w:szCs w:val="36"/>
        </w:rPr>
        <w:t>Wharton’s Jelly-</w:t>
      </w:r>
      <w:r w:rsidRPr="00630432">
        <w:rPr>
          <w:rFonts w:ascii="Minion Pro" w:hAnsi="Minion Pro"/>
          <w:b/>
          <w:bCs/>
          <w:sz w:val="36"/>
          <w:szCs w:val="36"/>
        </w:rPr>
        <w:t>derived M</w:t>
      </w:r>
      <w:r w:rsidRPr="00630432">
        <w:rPr>
          <w:rFonts w:ascii="Minion Pro" w:hAnsi="Minion Pro"/>
          <w:b/>
          <w:bCs/>
          <w:sz w:val="36"/>
          <w:szCs w:val="36"/>
        </w:rPr>
        <w:t>esenchymal stem cells</w:t>
      </w:r>
      <w:r w:rsidRPr="00630432">
        <w:rPr>
          <w:rFonts w:ascii="Minion Pro" w:hAnsi="Minion Pro"/>
          <w:b/>
          <w:bCs/>
          <w:sz w:val="36"/>
          <w:szCs w:val="36"/>
        </w:rPr>
        <w:t xml:space="preserve"> </w:t>
      </w:r>
      <w:r w:rsidR="002343DD">
        <w:rPr>
          <w:rFonts w:ascii="Minion Pro" w:hAnsi="Minion Pro"/>
          <w:b/>
          <w:bCs/>
          <w:sz w:val="36"/>
          <w:szCs w:val="36"/>
        </w:rPr>
        <w:t xml:space="preserve">and </w:t>
      </w:r>
      <w:r w:rsidRPr="00630432">
        <w:rPr>
          <w:rFonts w:ascii="Minion Pro" w:hAnsi="Minion Pro"/>
          <w:b/>
          <w:bCs/>
          <w:sz w:val="36"/>
          <w:szCs w:val="36"/>
        </w:rPr>
        <w:t xml:space="preserve">osteoinductive herbal </w:t>
      </w:r>
      <w:r w:rsidRPr="00630432">
        <w:rPr>
          <w:rFonts w:ascii="Minion Pro" w:hAnsi="Minion Pro"/>
          <w:b/>
          <w:bCs/>
          <w:sz w:val="36"/>
          <w:szCs w:val="36"/>
        </w:rPr>
        <w:t xml:space="preserve">scaffolds for </w:t>
      </w:r>
      <w:r w:rsidRPr="00630432">
        <w:rPr>
          <w:rFonts w:ascii="Minion Pro" w:hAnsi="Minion Pro"/>
          <w:b/>
          <w:bCs/>
          <w:sz w:val="36"/>
          <w:szCs w:val="36"/>
        </w:rPr>
        <w:t xml:space="preserve">critical-size calvarial </w:t>
      </w:r>
      <w:r w:rsidRPr="00630432">
        <w:rPr>
          <w:rFonts w:ascii="Minion Pro" w:hAnsi="Minion Pro"/>
          <w:b/>
          <w:bCs/>
          <w:sz w:val="36"/>
          <w:szCs w:val="36"/>
        </w:rPr>
        <w:t>bone defect regeneration</w:t>
      </w:r>
    </w:p>
    <w:p w:rsidR="003D61D1" w:rsidRPr="00A81DBD" w:rsidRDefault="00A81DBD" w:rsidP="00755A05">
      <w:pPr>
        <w:rPr>
          <w:rFonts w:ascii="Arial" w:hAnsi="Arial" w:cs="Arial"/>
          <w:sz w:val="18"/>
          <w:szCs w:val="18"/>
        </w:rPr>
      </w:pPr>
      <w:r w:rsidRPr="00F673CD">
        <w:rPr>
          <w:rFonts w:ascii="Arial" w:hAnsi="Arial" w:cs="Arial"/>
          <w:b/>
          <w:bCs/>
          <w:sz w:val="18"/>
          <w:szCs w:val="18"/>
          <w:u w:val="single"/>
        </w:rPr>
        <w:t>Shivaji Kashte</w:t>
      </w:r>
      <w:r w:rsidR="003D61D1">
        <w:rPr>
          <w:rFonts w:ascii="Arial" w:hAnsi="Arial" w:cs="Arial"/>
          <w:b/>
          <w:bCs/>
          <w:sz w:val="18"/>
          <w:szCs w:val="18"/>
          <w:u w:val="single"/>
        </w:rPr>
        <w:t xml:space="preserve">, </w:t>
      </w:r>
      <w:r w:rsidR="003D61D1" w:rsidRPr="00A81DBD">
        <w:rPr>
          <w:rFonts w:ascii="Arial" w:hAnsi="Arial" w:cs="Arial"/>
          <w:sz w:val="18"/>
          <w:szCs w:val="18"/>
        </w:rPr>
        <w:t>Department of Stem Cells &amp; Regenerative Medicine and Medical Biotechnology, Centre for Interdisciplinary Research, D. Y. Patil Education Society (Institution Deemed to be University), Kolhapur 416006, India</w:t>
      </w:r>
    </w:p>
    <w:p w:rsidR="003D61D1" w:rsidRDefault="00A81DBD" w:rsidP="00755A05">
      <w:pPr>
        <w:rPr>
          <w:rFonts w:ascii="Arial" w:hAnsi="Arial" w:cs="Arial"/>
          <w:sz w:val="18"/>
          <w:szCs w:val="18"/>
        </w:rPr>
      </w:pPr>
      <w:proofErr w:type="spellStart"/>
      <w:proofErr w:type="gramStart"/>
      <w:r w:rsidRPr="00A81DBD">
        <w:rPr>
          <w:rFonts w:ascii="Arial" w:hAnsi="Arial" w:cs="Arial"/>
          <w:sz w:val="18"/>
          <w:szCs w:val="18"/>
        </w:rPr>
        <w:t>Rohit</w:t>
      </w:r>
      <w:proofErr w:type="spellEnd"/>
      <w:r w:rsidRPr="00A81DBD">
        <w:rPr>
          <w:rFonts w:ascii="Arial" w:hAnsi="Arial" w:cs="Arial"/>
          <w:sz w:val="18"/>
          <w:szCs w:val="18"/>
        </w:rPr>
        <w:t xml:space="preserve"> </w:t>
      </w:r>
      <w:proofErr w:type="spellStart"/>
      <w:r w:rsidRPr="00A81DBD">
        <w:rPr>
          <w:rFonts w:ascii="Arial" w:hAnsi="Arial" w:cs="Arial"/>
          <w:sz w:val="18"/>
          <w:szCs w:val="18"/>
        </w:rPr>
        <w:t>Dhumal</w:t>
      </w:r>
      <w:proofErr w:type="spellEnd"/>
      <w:r w:rsidR="003D61D1">
        <w:rPr>
          <w:rFonts w:ascii="Arial" w:hAnsi="Arial" w:cs="Arial"/>
          <w:sz w:val="18"/>
          <w:szCs w:val="18"/>
        </w:rPr>
        <w:t>,</w:t>
      </w:r>
      <w:r w:rsidR="003D61D1" w:rsidRPr="003D61D1">
        <w:rPr>
          <w:rFonts w:ascii="Arial" w:hAnsi="Arial" w:cs="Arial"/>
          <w:sz w:val="18"/>
          <w:szCs w:val="18"/>
        </w:rPr>
        <w:t xml:space="preserve"> </w:t>
      </w:r>
      <w:r w:rsidR="003D61D1" w:rsidRPr="00A81DBD">
        <w:rPr>
          <w:rFonts w:ascii="Arial" w:hAnsi="Arial" w:cs="Arial"/>
          <w:sz w:val="18"/>
          <w:szCs w:val="18"/>
        </w:rPr>
        <w:t>Livestock Development Officer, Department of Animal Husbandry, Government of Maharashtra, Aurangabad, Maharashtra.</w:t>
      </w:r>
      <w:proofErr w:type="gramEnd"/>
      <w:r w:rsidR="003D61D1" w:rsidRPr="00A81DBD">
        <w:rPr>
          <w:rFonts w:ascii="Arial" w:hAnsi="Arial" w:cs="Arial"/>
          <w:sz w:val="18"/>
          <w:szCs w:val="18"/>
        </w:rPr>
        <w:t xml:space="preserve"> India.</w:t>
      </w:r>
      <w:r w:rsidR="003D61D1">
        <w:rPr>
          <w:rFonts w:ascii="Arial" w:hAnsi="Arial" w:cs="Arial"/>
          <w:sz w:val="18"/>
          <w:szCs w:val="18"/>
        </w:rPr>
        <w:t xml:space="preserve"> </w:t>
      </w:r>
    </w:p>
    <w:p w:rsidR="003D61D1" w:rsidRPr="00A81DBD" w:rsidRDefault="00A81DBD" w:rsidP="00755A05">
      <w:pPr>
        <w:rPr>
          <w:rFonts w:ascii="Arial" w:hAnsi="Arial" w:cs="Arial"/>
          <w:sz w:val="18"/>
          <w:szCs w:val="18"/>
        </w:rPr>
      </w:pPr>
      <w:proofErr w:type="spellStart"/>
      <w:r w:rsidRPr="00A81DBD">
        <w:rPr>
          <w:rFonts w:ascii="Arial" w:hAnsi="Arial" w:cs="Arial"/>
          <w:sz w:val="18"/>
          <w:szCs w:val="18"/>
        </w:rPr>
        <w:t>Pradip</w:t>
      </w:r>
      <w:proofErr w:type="spellEnd"/>
      <w:r w:rsidRPr="00A81DBD">
        <w:rPr>
          <w:rFonts w:ascii="Arial" w:hAnsi="Arial" w:cs="Arial"/>
          <w:sz w:val="18"/>
          <w:szCs w:val="18"/>
        </w:rPr>
        <w:t xml:space="preserve"> </w:t>
      </w:r>
      <w:proofErr w:type="spellStart"/>
      <w:r w:rsidRPr="00A81DBD">
        <w:rPr>
          <w:rFonts w:ascii="Arial" w:hAnsi="Arial" w:cs="Arial"/>
          <w:sz w:val="18"/>
          <w:szCs w:val="18"/>
        </w:rPr>
        <w:t>Chaudhary</w:t>
      </w:r>
      <w:proofErr w:type="spellEnd"/>
      <w:r w:rsidR="003D61D1">
        <w:rPr>
          <w:rFonts w:ascii="Arial" w:hAnsi="Arial" w:cs="Arial"/>
          <w:sz w:val="18"/>
          <w:szCs w:val="18"/>
        </w:rPr>
        <w:t xml:space="preserve">, </w:t>
      </w:r>
      <w:r w:rsidR="003D61D1" w:rsidRPr="00A81DBD">
        <w:rPr>
          <w:rFonts w:ascii="Arial" w:hAnsi="Arial" w:cs="Arial"/>
          <w:sz w:val="18"/>
          <w:szCs w:val="18"/>
        </w:rPr>
        <w:t>Division of Animal Oncology, Advanced Centre for Treatment, Research and Education in Cancer (ACTREC). Navi Mumbai, India</w:t>
      </w:r>
    </w:p>
    <w:p w:rsidR="003D61D1" w:rsidRPr="00A81DBD" w:rsidRDefault="00A81DBD" w:rsidP="00755A05">
      <w:pPr>
        <w:rPr>
          <w:rFonts w:ascii="Arial" w:hAnsi="Arial" w:cs="Arial"/>
          <w:sz w:val="18"/>
          <w:szCs w:val="18"/>
        </w:rPr>
      </w:pPr>
      <w:r w:rsidRPr="00A81DBD">
        <w:rPr>
          <w:rFonts w:ascii="Arial" w:hAnsi="Arial" w:cs="Arial"/>
          <w:sz w:val="18"/>
          <w:szCs w:val="18"/>
        </w:rPr>
        <w:t>R.K. Sharma</w:t>
      </w:r>
      <w:r w:rsidR="003D61D1">
        <w:rPr>
          <w:rFonts w:ascii="Arial" w:hAnsi="Arial" w:cs="Arial"/>
          <w:sz w:val="18"/>
          <w:szCs w:val="18"/>
        </w:rPr>
        <w:t xml:space="preserve">, </w:t>
      </w:r>
      <w:r w:rsidR="003D61D1" w:rsidRPr="00A81DBD">
        <w:rPr>
          <w:rFonts w:ascii="Arial" w:hAnsi="Arial" w:cs="Arial"/>
          <w:sz w:val="18"/>
          <w:szCs w:val="18"/>
        </w:rPr>
        <w:t>D. Y. Patil Medical College, D. Y. Patil Education Society (Deemed to be University), Kolhapur 416006, India</w:t>
      </w:r>
    </w:p>
    <w:p w:rsidR="003D61D1" w:rsidRPr="003D2AD4" w:rsidRDefault="00A81DBD" w:rsidP="00755A05">
      <w:pPr>
        <w:rPr>
          <w:rFonts w:ascii="Arial" w:hAnsi="Arial" w:cs="Arial"/>
          <w:sz w:val="18"/>
          <w:szCs w:val="18"/>
        </w:rPr>
      </w:pPr>
      <w:proofErr w:type="spellStart"/>
      <w:r w:rsidRPr="00A81DBD">
        <w:rPr>
          <w:rFonts w:ascii="Arial" w:hAnsi="Arial" w:cs="Arial"/>
          <w:sz w:val="18"/>
          <w:szCs w:val="18"/>
        </w:rPr>
        <w:t>Vikas</w:t>
      </w:r>
      <w:proofErr w:type="spellEnd"/>
      <w:r w:rsidRPr="00A81DBD">
        <w:rPr>
          <w:rFonts w:ascii="Arial" w:hAnsi="Arial" w:cs="Arial"/>
          <w:sz w:val="18"/>
          <w:szCs w:val="18"/>
        </w:rPr>
        <w:t xml:space="preserve"> </w:t>
      </w:r>
      <w:proofErr w:type="spellStart"/>
      <w:r w:rsidRPr="00A81DBD">
        <w:rPr>
          <w:rFonts w:ascii="Arial" w:hAnsi="Arial" w:cs="Arial"/>
          <w:sz w:val="18"/>
          <w:szCs w:val="18"/>
        </w:rPr>
        <w:t>Dighe</w:t>
      </w:r>
      <w:proofErr w:type="spellEnd"/>
      <w:r w:rsidR="003D61D1">
        <w:rPr>
          <w:rFonts w:ascii="Arial" w:hAnsi="Arial" w:cs="Arial"/>
          <w:sz w:val="18"/>
          <w:szCs w:val="18"/>
        </w:rPr>
        <w:t xml:space="preserve">, </w:t>
      </w:r>
      <w:r w:rsidR="003D61D1" w:rsidRPr="00A81DBD">
        <w:rPr>
          <w:rFonts w:ascii="Arial" w:hAnsi="Arial" w:cs="Arial"/>
          <w:sz w:val="18"/>
          <w:szCs w:val="18"/>
        </w:rPr>
        <w:t>N</w:t>
      </w:r>
      <w:r w:rsidR="003D61D1" w:rsidRPr="003D2AD4">
        <w:rPr>
          <w:rFonts w:ascii="Arial" w:hAnsi="Arial" w:cs="Arial"/>
          <w:sz w:val="18"/>
          <w:szCs w:val="18"/>
        </w:rPr>
        <w:t xml:space="preserve">ational Centre for Preclinical Reproductive and Genetic Toxicology, National Institute for Research in Reproductive Health (NIRRH), </w:t>
      </w:r>
      <w:proofErr w:type="spellStart"/>
      <w:r w:rsidR="003D61D1" w:rsidRPr="003D2AD4">
        <w:rPr>
          <w:rFonts w:ascii="Arial" w:hAnsi="Arial" w:cs="Arial"/>
          <w:sz w:val="18"/>
          <w:szCs w:val="18"/>
        </w:rPr>
        <w:t>Parel</w:t>
      </w:r>
      <w:proofErr w:type="spellEnd"/>
      <w:r w:rsidR="003D61D1" w:rsidRPr="003D2AD4">
        <w:rPr>
          <w:rFonts w:ascii="Arial" w:hAnsi="Arial" w:cs="Arial"/>
          <w:sz w:val="18"/>
          <w:szCs w:val="18"/>
        </w:rPr>
        <w:t>, Mumbai-400012, India</w:t>
      </w:r>
    </w:p>
    <w:p w:rsidR="00A81DBD" w:rsidRPr="003D2AD4" w:rsidRDefault="00A81DBD" w:rsidP="00755A05">
      <w:pPr>
        <w:rPr>
          <w:rFonts w:ascii="Arial" w:hAnsi="Arial" w:cs="Arial"/>
          <w:sz w:val="18"/>
          <w:szCs w:val="18"/>
        </w:rPr>
      </w:pPr>
      <w:r w:rsidRPr="00A81DBD">
        <w:rPr>
          <w:rFonts w:ascii="Arial" w:hAnsi="Arial" w:cs="Arial"/>
          <w:sz w:val="18"/>
          <w:szCs w:val="18"/>
        </w:rPr>
        <w:t>Sachin Kadam</w:t>
      </w:r>
      <w:r w:rsidR="003D61D1">
        <w:rPr>
          <w:rFonts w:ascii="Arial" w:hAnsi="Arial" w:cs="Arial"/>
          <w:sz w:val="18"/>
          <w:szCs w:val="18"/>
        </w:rPr>
        <w:t xml:space="preserve">, </w:t>
      </w:r>
      <w:r w:rsidRPr="003D2AD4">
        <w:rPr>
          <w:rFonts w:ascii="Arial" w:hAnsi="Arial" w:cs="Arial"/>
          <w:sz w:val="18"/>
          <w:szCs w:val="18"/>
        </w:rPr>
        <w:t xml:space="preserve">Advancells Group, NOIDA, Uttar Pradesh 201301, India </w:t>
      </w:r>
    </w:p>
    <w:p w:rsidR="00AE3E37" w:rsidRPr="003D2AD4" w:rsidRDefault="00AE3E37">
      <w:pPr>
        <w:pStyle w:val="BodyText"/>
        <w:spacing w:before="3"/>
        <w:rPr>
          <w:rFonts w:ascii="Arial"/>
          <w:sz w:val="21"/>
        </w:rPr>
      </w:pPr>
    </w:p>
    <w:p w:rsidR="00AE3E37" w:rsidRPr="003D2AD4" w:rsidRDefault="00AE3E37">
      <w:pPr>
        <w:rPr>
          <w:rFonts w:ascii="Arial"/>
          <w:sz w:val="21"/>
        </w:rPr>
        <w:sectPr w:rsidR="00AE3E37" w:rsidRPr="003D2AD4">
          <w:headerReference w:type="default" r:id="rId8"/>
          <w:footerReference w:type="default" r:id="rId9"/>
          <w:type w:val="continuous"/>
          <w:pgSz w:w="11910" w:h="16840"/>
          <w:pgMar w:top="1740" w:right="600" w:bottom="840" w:left="620" w:header="541" w:footer="642" w:gutter="0"/>
          <w:cols w:space="720"/>
        </w:sectPr>
      </w:pPr>
    </w:p>
    <w:p w:rsidR="00AE3E37" w:rsidRPr="003D2AD4" w:rsidRDefault="00A9710C">
      <w:pPr>
        <w:pStyle w:val="Heading3"/>
        <w:spacing w:before="147"/>
        <w:jc w:val="both"/>
        <w:rPr>
          <w:b w:val="0"/>
          <w:bCs w:val="0"/>
        </w:rPr>
      </w:pPr>
      <w:r w:rsidRPr="003D2AD4">
        <w:rPr>
          <w:b w:val="0"/>
          <w:bCs w:val="0"/>
          <w:color w:val="BF5A14"/>
        </w:rPr>
        <w:lastRenderedPageBreak/>
        <w:t>Abstract</w:t>
      </w:r>
      <w:r w:rsidR="00404E5B" w:rsidRPr="003D2AD4">
        <w:rPr>
          <w:b w:val="0"/>
          <w:bCs w:val="0"/>
          <w:color w:val="BF5A14"/>
        </w:rPr>
        <w:t xml:space="preserve"> (300 word limit)</w:t>
      </w:r>
    </w:p>
    <w:p w:rsidR="00AE3E37" w:rsidRDefault="00A9710C">
      <w:pPr>
        <w:pStyle w:val="BodyText"/>
        <w:spacing w:before="90" w:line="280" w:lineRule="auto"/>
        <w:ind w:left="100"/>
        <w:jc w:val="both"/>
      </w:pPr>
      <w:r w:rsidRPr="003D2AD4">
        <w:t xml:space="preserve">Statement of the Problem: </w:t>
      </w:r>
      <w:r w:rsidR="00824D65" w:rsidRPr="003D2AD4">
        <w:rPr>
          <w:rFonts w:cs="Times New Roman"/>
          <w:szCs w:val="24"/>
        </w:rPr>
        <w:t xml:space="preserve">Critical size calvarial bone defects and their repair is the major challenge in </w:t>
      </w:r>
      <w:proofErr w:type="spellStart"/>
      <w:r w:rsidR="00824D65" w:rsidRPr="003D2AD4">
        <w:rPr>
          <w:rFonts w:cs="Times New Roman"/>
          <w:szCs w:val="24"/>
        </w:rPr>
        <w:t>orthopaedic</w:t>
      </w:r>
      <w:proofErr w:type="spellEnd"/>
      <w:r w:rsidR="00824D65" w:rsidRPr="003D2AD4">
        <w:rPr>
          <w:rFonts w:cs="Times New Roman"/>
          <w:szCs w:val="24"/>
        </w:rPr>
        <w:t xml:space="preserve"> surgery. Bone tissue engineering using varied combinations of scaffolds, stem cells, and growth factors is an emerging choice of treatment for variety of bone defects. The study aimed to compare and evaluate the potential of </w:t>
      </w:r>
      <w:r w:rsidR="00824D65" w:rsidRPr="003D2AD4">
        <w:rPr>
          <w:rFonts w:cs="Times New Roman"/>
          <w:color w:val="000000"/>
          <w:szCs w:val="24"/>
        </w:rPr>
        <w:t xml:space="preserve">poly </w:t>
      </w:r>
      <w:r w:rsidR="00824D65" w:rsidRPr="003D2AD4">
        <w:rPr>
          <w:rFonts w:ascii="Arial" w:hAnsi="Arial" w:cs="Arial"/>
          <w:color w:val="000000"/>
          <w:szCs w:val="24"/>
        </w:rPr>
        <w:t>ε</w:t>
      </w:r>
      <w:r w:rsidR="00824D65" w:rsidRPr="003D2AD4">
        <w:rPr>
          <w:rFonts w:cs="Times New Roman"/>
          <w:color w:val="000000"/>
          <w:szCs w:val="24"/>
        </w:rPr>
        <w:t>-caprolactone (</w:t>
      </w:r>
      <w:r w:rsidR="00824D65" w:rsidRPr="003D2AD4">
        <w:rPr>
          <w:rFonts w:cs="Times New Roman"/>
          <w:szCs w:val="24"/>
        </w:rPr>
        <w:t>PCL), PCL-</w:t>
      </w:r>
      <w:r w:rsidR="00824D65" w:rsidRPr="003D2AD4">
        <w:rPr>
          <w:rFonts w:cs="Times New Roman"/>
          <w:color w:val="000000"/>
          <w:szCs w:val="24"/>
        </w:rPr>
        <w:t xml:space="preserve"> graphene oxide (</w:t>
      </w:r>
      <w:r w:rsidR="00824D65" w:rsidRPr="003D2AD4">
        <w:rPr>
          <w:rFonts w:cs="Times New Roman"/>
          <w:szCs w:val="24"/>
        </w:rPr>
        <w:t>GO), PCL-GO-</w:t>
      </w:r>
      <w:r w:rsidR="00824D65" w:rsidRPr="003D2AD4">
        <w:rPr>
          <w:rFonts w:cs="Times New Roman"/>
          <w:i/>
          <w:color w:val="000000"/>
          <w:szCs w:val="24"/>
        </w:rPr>
        <w:t>Cissus quadrangularis</w:t>
      </w:r>
      <w:r w:rsidR="00824D65" w:rsidRPr="003D2AD4">
        <w:rPr>
          <w:rFonts w:cs="Times New Roman"/>
          <w:iCs/>
          <w:color w:val="000000"/>
          <w:szCs w:val="24"/>
        </w:rPr>
        <w:t xml:space="preserve"> (</w:t>
      </w:r>
      <w:r w:rsidR="00824D65" w:rsidRPr="003D2AD4">
        <w:rPr>
          <w:rFonts w:cs="Times New Roman"/>
          <w:szCs w:val="24"/>
        </w:rPr>
        <w:t>CQ), and human umbilical cord-derived mesenchymal stem cells (hUCMSCs) seeded PCL (PCL- hUCMSCs), PCL-GO-CQ-hUCMSCs to heal critical size calvarial bone defect in the rat models.</w:t>
      </w:r>
      <w:r w:rsidRPr="003D2AD4">
        <w:t xml:space="preserve"> Methodolog</w:t>
      </w:r>
      <w:r w:rsidR="008756E6" w:rsidRPr="003D2AD4">
        <w:t xml:space="preserve">y &amp; Theoretical Orientation: </w:t>
      </w:r>
      <w:r w:rsidR="00824D65" w:rsidRPr="003D2AD4">
        <w:rPr>
          <w:rFonts w:cs="Times New Roman"/>
          <w:color w:val="000000" w:themeColor="text1"/>
          <w:szCs w:val="24"/>
        </w:rPr>
        <w:t>Healthy adult Wister female rats (N</w:t>
      </w:r>
      <w:r w:rsidR="00824D65" w:rsidRPr="003D2AD4">
        <w:rPr>
          <w:rFonts w:ascii="Arial" w:hAnsi="Arial" w:cs="Arial"/>
          <w:color w:val="000000" w:themeColor="text1"/>
          <w:szCs w:val="24"/>
        </w:rPr>
        <w:t> </w:t>
      </w:r>
      <w:r w:rsidR="00824D65" w:rsidRPr="003D2AD4">
        <w:rPr>
          <w:rFonts w:cs="Times New Roman"/>
          <w:color w:val="000000" w:themeColor="text1"/>
          <w:szCs w:val="24"/>
        </w:rPr>
        <w:t>=</w:t>
      </w:r>
      <w:r w:rsidR="00824D65" w:rsidRPr="003D2AD4">
        <w:rPr>
          <w:rFonts w:ascii="Arial" w:hAnsi="Arial" w:cs="Arial"/>
          <w:color w:val="000000" w:themeColor="text1"/>
          <w:szCs w:val="24"/>
        </w:rPr>
        <w:t> </w:t>
      </w:r>
      <w:r w:rsidR="00824D65" w:rsidRPr="003D2AD4">
        <w:rPr>
          <w:rFonts w:cs="Times New Roman"/>
          <w:color w:val="000000" w:themeColor="text1"/>
          <w:szCs w:val="24"/>
        </w:rPr>
        <w:t xml:space="preserve">30) with average body weight of 350±30 g were divided to 6 groups with five animals in each group. </w:t>
      </w:r>
      <w:proofErr w:type="gramStart"/>
      <w:r w:rsidR="00824D65" w:rsidRPr="003D2AD4">
        <w:rPr>
          <w:rFonts w:cs="Times New Roman"/>
          <w:szCs w:val="24"/>
        </w:rPr>
        <w:t>A single critical size calvarial defect of 8 mm was created in the skull of each rat and were</w:t>
      </w:r>
      <w:proofErr w:type="gramEnd"/>
      <w:r w:rsidR="00824D65" w:rsidRPr="003D2AD4">
        <w:rPr>
          <w:rFonts w:cs="Times New Roman"/>
          <w:szCs w:val="24"/>
        </w:rPr>
        <w:t xml:space="preserve"> treated with respective scaffolds.</w:t>
      </w:r>
      <w:r w:rsidR="00824D65" w:rsidRPr="003D2AD4">
        <w:rPr>
          <w:rFonts w:cs="Times New Roman"/>
          <w:szCs w:val="24"/>
        </w:rPr>
        <w:t xml:space="preserve"> </w:t>
      </w:r>
      <w:r w:rsidR="00824D65" w:rsidRPr="003D2AD4">
        <w:rPr>
          <w:rFonts w:cs="Times New Roman"/>
          <w:szCs w:val="24"/>
        </w:rPr>
        <w:t xml:space="preserve">The outcome of the treatments was evaluated at 6 weeks and 12 weeks in terms of weight, </w:t>
      </w:r>
      <w:proofErr w:type="spellStart"/>
      <w:r w:rsidR="00824D65" w:rsidRPr="003D2AD4">
        <w:rPr>
          <w:rFonts w:cs="Times New Roman"/>
          <w:szCs w:val="24"/>
        </w:rPr>
        <w:t>haematological</w:t>
      </w:r>
      <w:proofErr w:type="spellEnd"/>
      <w:r w:rsidR="00824D65" w:rsidRPr="003D2AD4">
        <w:rPr>
          <w:rFonts w:cs="Times New Roman"/>
          <w:szCs w:val="24"/>
        </w:rPr>
        <w:t xml:space="preserve"> parameters and biochemical parameters for biocompatibility. New bone regeneration/healing was </w:t>
      </w:r>
      <w:proofErr w:type="spellStart"/>
      <w:r w:rsidR="00824D65" w:rsidRPr="003D2AD4">
        <w:rPr>
          <w:rFonts w:cs="Times New Roman"/>
          <w:szCs w:val="24"/>
        </w:rPr>
        <w:t>analysed</w:t>
      </w:r>
      <w:proofErr w:type="spellEnd"/>
      <w:r w:rsidR="00824D65" w:rsidRPr="003D2AD4">
        <w:rPr>
          <w:rFonts w:cs="Times New Roman"/>
          <w:szCs w:val="24"/>
        </w:rPr>
        <w:t xml:space="preserve"> using digital radiography and </w:t>
      </w:r>
      <w:r w:rsidR="00824D65" w:rsidRPr="003D2AD4">
        <w:rPr>
          <w:rFonts w:cs="Times New Roman"/>
          <w:color w:val="000000" w:themeColor="text1"/>
          <w:szCs w:val="24"/>
        </w:rPr>
        <w:t>micro-computed tomography</w:t>
      </w:r>
      <w:r w:rsidR="00824D65" w:rsidRPr="003D2AD4">
        <w:rPr>
          <w:rFonts w:cs="Times New Roman"/>
          <w:szCs w:val="24"/>
        </w:rPr>
        <w:t xml:space="preserve">. Quality of bone formed was </w:t>
      </w:r>
      <w:proofErr w:type="spellStart"/>
      <w:r w:rsidR="00824D65" w:rsidRPr="003D2AD4">
        <w:rPr>
          <w:rFonts w:cs="Times New Roman"/>
          <w:szCs w:val="24"/>
        </w:rPr>
        <w:t>analysed</w:t>
      </w:r>
      <w:proofErr w:type="spellEnd"/>
      <w:r w:rsidR="00824D65" w:rsidRPr="003D2AD4">
        <w:rPr>
          <w:rFonts w:cs="Times New Roman"/>
          <w:szCs w:val="24"/>
        </w:rPr>
        <w:t xml:space="preserve"> by bone mineral density. Histological analysis of the bone tissues was performed using an optical microscope.</w:t>
      </w:r>
      <w:r w:rsidRPr="003D2AD4">
        <w:t xml:space="preserve"> Findings: </w:t>
      </w:r>
      <w:r w:rsidR="002609C5" w:rsidRPr="003D2AD4">
        <w:rPr>
          <w:rFonts w:cs="Times New Roman"/>
          <w:szCs w:val="24"/>
        </w:rPr>
        <w:t>All the scaffolds were biocompatible and there was no adverse effect of these scaffolds on animals. Higher bone regeneration was observed</w:t>
      </w:r>
      <w:r w:rsidR="002609C5" w:rsidRPr="00442F23">
        <w:rPr>
          <w:rFonts w:cs="Times New Roman"/>
          <w:szCs w:val="24"/>
        </w:rPr>
        <w:t xml:space="preserve"> after 12 week</w:t>
      </w:r>
      <w:r w:rsidR="002609C5">
        <w:rPr>
          <w:rFonts w:cs="Times New Roman"/>
          <w:szCs w:val="24"/>
        </w:rPr>
        <w:t>s</w:t>
      </w:r>
      <w:r w:rsidR="002609C5" w:rsidRPr="00442F23">
        <w:rPr>
          <w:rFonts w:cs="Times New Roman"/>
          <w:szCs w:val="24"/>
        </w:rPr>
        <w:t xml:space="preserve"> of transplantation than 6 week</w:t>
      </w:r>
      <w:r w:rsidR="002609C5">
        <w:rPr>
          <w:rFonts w:cs="Times New Roman"/>
          <w:szCs w:val="24"/>
        </w:rPr>
        <w:t>s</w:t>
      </w:r>
      <w:r w:rsidR="002609C5" w:rsidRPr="00442F23">
        <w:rPr>
          <w:rFonts w:cs="Times New Roman"/>
          <w:szCs w:val="24"/>
        </w:rPr>
        <w:t xml:space="preserve">. </w:t>
      </w:r>
      <w:r w:rsidR="002609C5">
        <w:rPr>
          <w:rFonts w:cs="Times New Roman"/>
          <w:szCs w:val="24"/>
        </w:rPr>
        <w:t xml:space="preserve">However, </w:t>
      </w:r>
      <w:r w:rsidR="002609C5" w:rsidRPr="00442F23">
        <w:rPr>
          <w:rFonts w:cs="Times New Roman"/>
          <w:szCs w:val="24"/>
        </w:rPr>
        <w:t xml:space="preserve">PCL-GO-CQ-hUCMSCs scaffolds </w:t>
      </w:r>
      <w:r w:rsidR="002609C5">
        <w:rPr>
          <w:rFonts w:cs="Times New Roman"/>
          <w:szCs w:val="24"/>
        </w:rPr>
        <w:t xml:space="preserve">exhibited </w:t>
      </w:r>
      <w:r w:rsidR="002609C5" w:rsidRPr="00442F23">
        <w:rPr>
          <w:rFonts w:cs="Times New Roman"/>
          <w:szCs w:val="24"/>
        </w:rPr>
        <w:t>highest bone regeneration after 12 week</w:t>
      </w:r>
      <w:r w:rsidR="002609C5">
        <w:rPr>
          <w:rFonts w:cs="Times New Roman"/>
          <w:szCs w:val="24"/>
        </w:rPr>
        <w:t>s</w:t>
      </w:r>
      <w:r>
        <w:t xml:space="preserve">. </w:t>
      </w:r>
      <w:r w:rsidRPr="00794F6B">
        <w:rPr>
          <w:b/>
          <w:bCs/>
        </w:rPr>
        <w:t>Conclusion &amp; Significance</w:t>
      </w:r>
      <w:r>
        <w:t xml:space="preserve">: </w:t>
      </w:r>
      <w:r w:rsidR="002609C5" w:rsidRPr="00442F23">
        <w:rPr>
          <w:rFonts w:cs="Times New Roman"/>
          <w:szCs w:val="24"/>
        </w:rPr>
        <w:t xml:space="preserve">The unique combination </w:t>
      </w:r>
      <w:r w:rsidR="002609C5">
        <w:rPr>
          <w:rFonts w:cs="Times New Roman"/>
          <w:szCs w:val="24"/>
        </w:rPr>
        <w:t xml:space="preserve">of </w:t>
      </w:r>
      <w:r w:rsidR="002609C5" w:rsidRPr="00442F23">
        <w:rPr>
          <w:rFonts w:cs="Times New Roman"/>
          <w:szCs w:val="24"/>
        </w:rPr>
        <w:t xml:space="preserve">PCL-GO-CQ-hUCMSCs </w:t>
      </w:r>
      <w:r w:rsidR="002609C5">
        <w:rPr>
          <w:rFonts w:cs="Times New Roman"/>
          <w:szCs w:val="24"/>
        </w:rPr>
        <w:t xml:space="preserve">scaffold </w:t>
      </w:r>
      <w:r w:rsidR="002609C5" w:rsidRPr="00442F23">
        <w:rPr>
          <w:rFonts w:cs="Times New Roman"/>
          <w:szCs w:val="24"/>
        </w:rPr>
        <w:t xml:space="preserve">proved to be </w:t>
      </w:r>
      <w:r w:rsidR="002609C5">
        <w:rPr>
          <w:rFonts w:cs="Times New Roman"/>
          <w:szCs w:val="24"/>
        </w:rPr>
        <w:t>beneficial</w:t>
      </w:r>
      <w:r w:rsidR="002609C5" w:rsidRPr="00442F23">
        <w:rPr>
          <w:rFonts w:cs="Times New Roman"/>
          <w:szCs w:val="24"/>
        </w:rPr>
        <w:t xml:space="preserve"> in bone regeneration by </w:t>
      </w:r>
      <w:r w:rsidR="002609C5">
        <w:rPr>
          <w:rFonts w:cs="Times New Roman"/>
          <w:szCs w:val="24"/>
        </w:rPr>
        <w:t xml:space="preserve">aiding </w:t>
      </w:r>
      <w:r w:rsidR="002609C5" w:rsidRPr="00442F23">
        <w:rPr>
          <w:rFonts w:cs="Times New Roman"/>
          <w:szCs w:val="24"/>
        </w:rPr>
        <w:t>nearly complete healing of defect site</w:t>
      </w:r>
      <w:r w:rsidR="002609C5">
        <w:rPr>
          <w:rFonts w:cs="Times New Roman"/>
          <w:szCs w:val="24"/>
        </w:rPr>
        <w:t xml:space="preserve">. </w:t>
      </w:r>
      <w:r w:rsidR="002609C5" w:rsidRPr="00442F23">
        <w:rPr>
          <w:rFonts w:cs="Times New Roman"/>
          <w:szCs w:val="24"/>
        </w:rPr>
        <w:t>Further studies with PCL-GO-CQ-hUCMSCs could pave the way for human clinical trials.</w:t>
      </w:r>
    </w:p>
    <w:p w:rsidR="00AE3E37" w:rsidRDefault="00A9710C">
      <w:pPr>
        <w:pStyle w:val="Heading3"/>
        <w:spacing w:before="74"/>
      </w:pPr>
      <w:r>
        <w:rPr>
          <w:b w:val="0"/>
        </w:rPr>
        <w:br w:type="column"/>
      </w:r>
      <w:r>
        <w:rPr>
          <w:color w:val="BF5A14"/>
        </w:rPr>
        <w:lastRenderedPageBreak/>
        <w:t>Image</w:t>
      </w:r>
    </w:p>
    <w:p w:rsidR="00F65BAD" w:rsidRDefault="00216B81" w:rsidP="00F65BAD">
      <w:pPr>
        <w:pStyle w:val="BodyText"/>
        <w:keepNext/>
        <w:spacing w:before="2"/>
      </w:pPr>
      <w:r>
        <w:rPr>
          <w:rFonts w:ascii="Arial"/>
          <w:b/>
          <w:noProof/>
          <w:sz w:val="16"/>
          <w:lang w:val="en-IN" w:eastAsia="en-IN" w:bidi="mr-IN"/>
        </w:rPr>
        <w:drawing>
          <wp:inline distT="0" distB="0" distL="0" distR="0" wp14:anchorId="2FF3D217" wp14:editId="37CF95F8">
            <wp:extent cx="3165475" cy="897879"/>
            <wp:effectExtent l="0" t="0" r="0" b="0"/>
            <wp:docPr id="4" name="Picture 4" descr="H:\All THEISIS_PhD\In Vivo paper\Graphical Abstr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ll THEISIS_PhD\In Vivo paper\Graphical Abstrac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897879"/>
                    </a:xfrm>
                    <a:prstGeom prst="rect">
                      <a:avLst/>
                    </a:prstGeom>
                    <a:noFill/>
                    <a:ln>
                      <a:noFill/>
                    </a:ln>
                  </pic:spPr>
                </pic:pic>
              </a:graphicData>
            </a:graphic>
          </wp:inline>
        </w:drawing>
      </w:r>
    </w:p>
    <w:p w:rsidR="00AE3E37" w:rsidRDefault="00F65BAD" w:rsidP="00F65BAD">
      <w:pPr>
        <w:pStyle w:val="Caption"/>
        <w:rPr>
          <w:rFonts w:ascii="Arial"/>
          <w:b w:val="0"/>
          <w:sz w:val="16"/>
        </w:rPr>
      </w:pPr>
      <w:r>
        <w:t xml:space="preserve">Figure </w:t>
      </w:r>
      <w:fldSimple w:instr=" SEQ Figure \* ARABIC ">
        <w:r>
          <w:rPr>
            <w:noProof/>
          </w:rPr>
          <w:t>1</w:t>
        </w:r>
      </w:fldSimple>
      <w:r>
        <w:rPr>
          <w:lang w:val="en-IN"/>
        </w:rPr>
        <w:t>: Graphical Abstract</w:t>
      </w:r>
    </w:p>
    <w:p w:rsidR="005973B9" w:rsidRDefault="005973B9" w:rsidP="005973B9">
      <w:pPr>
        <w:spacing w:line="204" w:lineRule="exact"/>
        <w:rPr>
          <w:rFonts w:ascii="Arial"/>
          <w:b/>
          <w:sz w:val="20"/>
        </w:rPr>
      </w:pPr>
      <w:r>
        <w:rPr>
          <w:rFonts w:ascii="Arial"/>
          <w:b/>
          <w:color w:val="BF5A14"/>
          <w:sz w:val="20"/>
        </w:rPr>
        <w:t>Recent Publications (minimum 5)</w:t>
      </w:r>
    </w:p>
    <w:p w:rsidR="005973B9" w:rsidRPr="0010569A" w:rsidRDefault="005A1969" w:rsidP="0010569A">
      <w:pPr>
        <w:pStyle w:val="ListParagraph"/>
        <w:numPr>
          <w:ilvl w:val="0"/>
          <w:numId w:val="3"/>
        </w:numPr>
        <w:tabs>
          <w:tab w:val="left" w:pos="384"/>
        </w:tabs>
        <w:spacing w:before="0" w:line="216" w:lineRule="exact"/>
        <w:ind w:right="138" w:hanging="283"/>
        <w:rPr>
          <w:rFonts w:asciiTheme="minorHAnsi" w:hAnsiTheme="minorHAnsi" w:cstheme="minorHAnsi"/>
          <w:sz w:val="18"/>
          <w:szCs w:val="18"/>
        </w:rPr>
      </w:pPr>
      <w:r w:rsidRPr="0010569A">
        <w:rPr>
          <w:rFonts w:asciiTheme="minorHAnsi" w:hAnsiTheme="minorHAnsi" w:cstheme="minorHAnsi"/>
          <w:color w:val="212121"/>
          <w:sz w:val="18"/>
          <w:szCs w:val="18"/>
          <w:shd w:val="clear" w:color="auto" w:fill="FFFFFF"/>
        </w:rPr>
        <w:t xml:space="preserve">Gupta A, </w:t>
      </w:r>
      <w:r w:rsidRPr="008320A8">
        <w:rPr>
          <w:rFonts w:asciiTheme="minorHAnsi" w:hAnsiTheme="minorHAnsi" w:cstheme="minorHAnsi"/>
          <w:b/>
          <w:bCs/>
          <w:color w:val="212121"/>
          <w:sz w:val="18"/>
          <w:szCs w:val="18"/>
          <w:shd w:val="clear" w:color="auto" w:fill="FFFFFF"/>
        </w:rPr>
        <w:t>Shivaji K</w:t>
      </w:r>
      <w:r w:rsidRPr="0010569A">
        <w:rPr>
          <w:rFonts w:asciiTheme="minorHAnsi" w:hAnsiTheme="minorHAnsi" w:cstheme="minorHAnsi"/>
          <w:color w:val="212121"/>
          <w:sz w:val="18"/>
          <w:szCs w:val="18"/>
          <w:shd w:val="clear" w:color="auto" w:fill="FFFFFF"/>
        </w:rPr>
        <w:t xml:space="preserve">, Kadam S, Gupta M, Rodriguez HC, Potty AG, El-Amin SF 3rd, </w:t>
      </w:r>
      <w:proofErr w:type="spellStart"/>
      <w:r w:rsidRPr="0010569A">
        <w:rPr>
          <w:rFonts w:asciiTheme="minorHAnsi" w:hAnsiTheme="minorHAnsi" w:cstheme="minorHAnsi"/>
          <w:color w:val="212121"/>
          <w:sz w:val="18"/>
          <w:szCs w:val="18"/>
          <w:shd w:val="clear" w:color="auto" w:fill="FFFFFF"/>
        </w:rPr>
        <w:t>Maffulli</w:t>
      </w:r>
      <w:proofErr w:type="spellEnd"/>
      <w:r w:rsidRPr="0010569A">
        <w:rPr>
          <w:rFonts w:asciiTheme="minorHAnsi" w:hAnsiTheme="minorHAnsi" w:cstheme="minorHAnsi"/>
          <w:color w:val="212121"/>
          <w:sz w:val="18"/>
          <w:szCs w:val="18"/>
          <w:shd w:val="clear" w:color="auto" w:fill="FFFFFF"/>
        </w:rPr>
        <w:t xml:space="preserve"> N. Immunomodulatory extracellular vesicles: an alternative to cell therapy for COVID-19. Expert </w:t>
      </w:r>
      <w:proofErr w:type="spellStart"/>
      <w:r w:rsidRPr="0010569A">
        <w:rPr>
          <w:rFonts w:asciiTheme="minorHAnsi" w:hAnsiTheme="minorHAnsi" w:cstheme="minorHAnsi"/>
          <w:color w:val="212121"/>
          <w:sz w:val="18"/>
          <w:szCs w:val="18"/>
          <w:shd w:val="clear" w:color="auto" w:fill="FFFFFF"/>
        </w:rPr>
        <w:t>Opin</w:t>
      </w:r>
      <w:proofErr w:type="spellEnd"/>
      <w:r w:rsidRPr="0010569A">
        <w:rPr>
          <w:rFonts w:asciiTheme="minorHAnsi" w:hAnsiTheme="minorHAnsi" w:cstheme="minorHAnsi"/>
          <w:color w:val="212121"/>
          <w:sz w:val="18"/>
          <w:szCs w:val="18"/>
          <w:shd w:val="clear" w:color="auto" w:fill="FFFFFF"/>
        </w:rPr>
        <w:t xml:space="preserve"> </w:t>
      </w:r>
      <w:proofErr w:type="spellStart"/>
      <w:r w:rsidRPr="0010569A">
        <w:rPr>
          <w:rFonts w:asciiTheme="minorHAnsi" w:hAnsiTheme="minorHAnsi" w:cstheme="minorHAnsi"/>
          <w:color w:val="212121"/>
          <w:sz w:val="18"/>
          <w:szCs w:val="18"/>
          <w:shd w:val="clear" w:color="auto" w:fill="FFFFFF"/>
        </w:rPr>
        <w:t>Biol</w:t>
      </w:r>
      <w:proofErr w:type="spellEnd"/>
      <w:r w:rsidRPr="0010569A">
        <w:rPr>
          <w:rFonts w:asciiTheme="minorHAnsi" w:hAnsiTheme="minorHAnsi" w:cstheme="minorHAnsi"/>
          <w:color w:val="212121"/>
          <w:sz w:val="18"/>
          <w:szCs w:val="18"/>
          <w:shd w:val="clear" w:color="auto" w:fill="FFFFFF"/>
        </w:rPr>
        <w:t xml:space="preserve"> </w:t>
      </w:r>
      <w:proofErr w:type="spellStart"/>
      <w:r w:rsidRPr="0010569A">
        <w:rPr>
          <w:rFonts w:asciiTheme="minorHAnsi" w:hAnsiTheme="minorHAnsi" w:cstheme="minorHAnsi"/>
          <w:color w:val="212121"/>
          <w:sz w:val="18"/>
          <w:szCs w:val="18"/>
          <w:shd w:val="clear" w:color="auto" w:fill="FFFFFF"/>
        </w:rPr>
        <w:t>Ther</w:t>
      </w:r>
      <w:proofErr w:type="spellEnd"/>
      <w:r w:rsidRPr="0010569A">
        <w:rPr>
          <w:rFonts w:asciiTheme="minorHAnsi" w:hAnsiTheme="minorHAnsi" w:cstheme="minorHAnsi"/>
          <w:color w:val="212121"/>
          <w:sz w:val="18"/>
          <w:szCs w:val="18"/>
          <w:shd w:val="clear" w:color="auto" w:fill="FFFFFF"/>
        </w:rPr>
        <w:t xml:space="preserve">. 2021 May 24:1-10. </w:t>
      </w:r>
      <w:proofErr w:type="spellStart"/>
      <w:proofErr w:type="gramStart"/>
      <w:r w:rsidRPr="0010569A">
        <w:rPr>
          <w:rFonts w:asciiTheme="minorHAnsi" w:hAnsiTheme="minorHAnsi" w:cstheme="minorHAnsi"/>
          <w:color w:val="212121"/>
          <w:sz w:val="18"/>
          <w:szCs w:val="18"/>
          <w:shd w:val="clear" w:color="auto" w:fill="FFFFFF"/>
        </w:rPr>
        <w:t>doi</w:t>
      </w:r>
      <w:proofErr w:type="spellEnd"/>
      <w:proofErr w:type="gramEnd"/>
      <w:r w:rsidRPr="0010569A">
        <w:rPr>
          <w:rFonts w:asciiTheme="minorHAnsi" w:hAnsiTheme="minorHAnsi" w:cstheme="minorHAnsi"/>
          <w:color w:val="212121"/>
          <w:sz w:val="18"/>
          <w:szCs w:val="18"/>
          <w:shd w:val="clear" w:color="auto" w:fill="FFFFFF"/>
        </w:rPr>
        <w:t xml:space="preserve">: 10.1080/14712598.2021.1921141. </w:t>
      </w:r>
    </w:p>
    <w:p w:rsidR="005973B9" w:rsidRPr="0010569A" w:rsidRDefault="005A1969" w:rsidP="0010569A">
      <w:pPr>
        <w:pStyle w:val="ListParagraph"/>
        <w:numPr>
          <w:ilvl w:val="0"/>
          <w:numId w:val="3"/>
        </w:numPr>
        <w:tabs>
          <w:tab w:val="left" w:pos="384"/>
        </w:tabs>
        <w:spacing w:before="0" w:line="216" w:lineRule="exact"/>
        <w:ind w:right="137" w:hanging="283"/>
        <w:rPr>
          <w:rFonts w:asciiTheme="minorHAnsi" w:hAnsiTheme="minorHAnsi" w:cstheme="minorHAnsi"/>
          <w:sz w:val="18"/>
          <w:szCs w:val="18"/>
        </w:rPr>
      </w:pPr>
      <w:r w:rsidRPr="0010569A">
        <w:rPr>
          <w:rFonts w:asciiTheme="minorHAnsi" w:hAnsiTheme="minorHAnsi" w:cstheme="minorHAnsi"/>
          <w:b/>
          <w:bCs/>
          <w:sz w:val="18"/>
          <w:szCs w:val="18"/>
        </w:rPr>
        <w:t>Shivaji Kashte</w:t>
      </w:r>
      <w:r w:rsidRPr="0010569A">
        <w:rPr>
          <w:rFonts w:asciiTheme="minorHAnsi" w:hAnsiTheme="minorHAnsi" w:cstheme="minorHAnsi"/>
          <w:sz w:val="18"/>
          <w:szCs w:val="18"/>
        </w:rPr>
        <w:t xml:space="preserve">, </w:t>
      </w:r>
      <w:proofErr w:type="spellStart"/>
      <w:r w:rsidRPr="0010569A">
        <w:rPr>
          <w:rFonts w:asciiTheme="minorHAnsi" w:hAnsiTheme="minorHAnsi" w:cstheme="minorHAnsi"/>
          <w:sz w:val="18"/>
          <w:szCs w:val="18"/>
        </w:rPr>
        <w:t>Rohit</w:t>
      </w:r>
      <w:proofErr w:type="spellEnd"/>
      <w:r w:rsidRPr="0010569A">
        <w:rPr>
          <w:rFonts w:asciiTheme="minorHAnsi" w:hAnsiTheme="minorHAnsi" w:cstheme="minorHAnsi"/>
          <w:sz w:val="18"/>
          <w:szCs w:val="18"/>
        </w:rPr>
        <w:t xml:space="preserve"> </w:t>
      </w:r>
      <w:proofErr w:type="spellStart"/>
      <w:r w:rsidRPr="0010569A">
        <w:rPr>
          <w:rFonts w:asciiTheme="minorHAnsi" w:hAnsiTheme="minorHAnsi" w:cstheme="minorHAnsi"/>
          <w:sz w:val="18"/>
          <w:szCs w:val="18"/>
        </w:rPr>
        <w:t>Dhumal</w:t>
      </w:r>
      <w:proofErr w:type="spellEnd"/>
      <w:r w:rsidRPr="0010569A">
        <w:rPr>
          <w:rFonts w:asciiTheme="minorHAnsi" w:hAnsiTheme="minorHAnsi" w:cstheme="minorHAnsi"/>
          <w:sz w:val="18"/>
          <w:szCs w:val="18"/>
        </w:rPr>
        <w:t xml:space="preserve">, </w:t>
      </w:r>
      <w:proofErr w:type="spellStart"/>
      <w:r w:rsidRPr="0010569A">
        <w:rPr>
          <w:rFonts w:asciiTheme="minorHAnsi" w:hAnsiTheme="minorHAnsi" w:cstheme="minorHAnsi"/>
          <w:sz w:val="18"/>
          <w:szCs w:val="18"/>
        </w:rPr>
        <w:t>Pradip</w:t>
      </w:r>
      <w:proofErr w:type="spellEnd"/>
      <w:r w:rsidRPr="0010569A">
        <w:rPr>
          <w:rFonts w:asciiTheme="minorHAnsi" w:hAnsiTheme="minorHAnsi" w:cstheme="minorHAnsi"/>
          <w:sz w:val="18"/>
          <w:szCs w:val="18"/>
        </w:rPr>
        <w:t xml:space="preserve"> </w:t>
      </w:r>
      <w:proofErr w:type="spellStart"/>
      <w:r w:rsidRPr="0010569A">
        <w:rPr>
          <w:rFonts w:asciiTheme="minorHAnsi" w:hAnsiTheme="minorHAnsi" w:cstheme="minorHAnsi"/>
          <w:sz w:val="18"/>
          <w:szCs w:val="18"/>
        </w:rPr>
        <w:t>Chaudhary</w:t>
      </w:r>
      <w:proofErr w:type="spellEnd"/>
      <w:r w:rsidRPr="0010569A">
        <w:rPr>
          <w:rFonts w:asciiTheme="minorHAnsi" w:hAnsiTheme="minorHAnsi" w:cstheme="minorHAnsi"/>
          <w:sz w:val="18"/>
          <w:szCs w:val="18"/>
        </w:rPr>
        <w:t xml:space="preserve">, R.K. Sharma, </w:t>
      </w:r>
      <w:proofErr w:type="spellStart"/>
      <w:r w:rsidRPr="0010569A">
        <w:rPr>
          <w:rFonts w:asciiTheme="minorHAnsi" w:hAnsiTheme="minorHAnsi" w:cstheme="minorHAnsi"/>
          <w:sz w:val="18"/>
          <w:szCs w:val="18"/>
        </w:rPr>
        <w:t>Vikas</w:t>
      </w:r>
      <w:proofErr w:type="spellEnd"/>
      <w:r w:rsidRPr="0010569A">
        <w:rPr>
          <w:rFonts w:asciiTheme="minorHAnsi" w:hAnsiTheme="minorHAnsi" w:cstheme="minorHAnsi"/>
          <w:sz w:val="18"/>
          <w:szCs w:val="18"/>
        </w:rPr>
        <w:t xml:space="preserve"> </w:t>
      </w:r>
      <w:proofErr w:type="spellStart"/>
      <w:r w:rsidRPr="0010569A">
        <w:rPr>
          <w:rFonts w:asciiTheme="minorHAnsi" w:hAnsiTheme="minorHAnsi" w:cstheme="minorHAnsi"/>
          <w:sz w:val="18"/>
          <w:szCs w:val="18"/>
        </w:rPr>
        <w:t>Dighe</w:t>
      </w:r>
      <w:proofErr w:type="spellEnd"/>
      <w:r w:rsidRPr="0010569A">
        <w:rPr>
          <w:rFonts w:asciiTheme="minorHAnsi" w:hAnsiTheme="minorHAnsi" w:cstheme="minorHAnsi"/>
          <w:sz w:val="18"/>
          <w:szCs w:val="18"/>
        </w:rPr>
        <w:t>, Sachin Kadam. Bone regeneration in critical-size calvarial defect using functional biocompatible osteoinductive herbal scaffolds and human umbilical cord Wharton’s Jelly-derived mesenchymal stem cells. Materials Today Communications.</w:t>
      </w:r>
      <w:r w:rsidRPr="0010569A">
        <w:rPr>
          <w:rFonts w:asciiTheme="minorHAnsi" w:hAnsiTheme="minorHAnsi" w:cstheme="minorHAnsi"/>
          <w:color w:val="222222"/>
          <w:sz w:val="18"/>
          <w:szCs w:val="18"/>
          <w:shd w:val="clear" w:color="auto" w:fill="FFFFFF"/>
        </w:rPr>
        <w:t xml:space="preserve"> 2021: 102049</w:t>
      </w:r>
      <w:r w:rsidR="005973B9" w:rsidRPr="0010569A">
        <w:rPr>
          <w:rFonts w:asciiTheme="minorHAnsi" w:hAnsiTheme="minorHAnsi" w:cstheme="minorHAnsi"/>
          <w:sz w:val="18"/>
          <w:szCs w:val="18"/>
        </w:rPr>
        <w:t>.</w:t>
      </w:r>
    </w:p>
    <w:p w:rsidR="005973B9" w:rsidRPr="0010569A" w:rsidRDefault="002A7E9A" w:rsidP="0010569A">
      <w:pPr>
        <w:pStyle w:val="ListParagraph"/>
        <w:numPr>
          <w:ilvl w:val="0"/>
          <w:numId w:val="3"/>
        </w:numPr>
        <w:tabs>
          <w:tab w:val="left" w:pos="384"/>
        </w:tabs>
        <w:spacing w:before="0" w:line="216" w:lineRule="exact"/>
        <w:ind w:right="138" w:hanging="283"/>
        <w:rPr>
          <w:rFonts w:asciiTheme="minorHAnsi" w:hAnsiTheme="minorHAnsi" w:cstheme="minorHAnsi"/>
          <w:sz w:val="18"/>
          <w:szCs w:val="18"/>
        </w:rPr>
      </w:pPr>
      <w:r w:rsidRPr="0010569A">
        <w:rPr>
          <w:rFonts w:asciiTheme="minorHAnsi" w:hAnsiTheme="minorHAnsi" w:cstheme="minorHAnsi"/>
          <w:color w:val="222222"/>
          <w:sz w:val="18"/>
          <w:szCs w:val="18"/>
          <w:shd w:val="clear" w:color="auto" w:fill="FFFFFF"/>
        </w:rPr>
        <w:t xml:space="preserve">Gupta, A., </w:t>
      </w:r>
      <w:r w:rsidRPr="0010569A">
        <w:rPr>
          <w:rFonts w:asciiTheme="minorHAnsi" w:hAnsiTheme="minorHAnsi" w:cstheme="minorHAnsi"/>
          <w:b/>
          <w:bCs/>
          <w:sz w:val="18"/>
          <w:szCs w:val="18"/>
          <w:shd w:val="clear" w:color="auto" w:fill="FFFFFF"/>
        </w:rPr>
        <w:t>Shivaji Kashte</w:t>
      </w:r>
      <w:r w:rsidRPr="0010569A">
        <w:rPr>
          <w:rFonts w:asciiTheme="minorHAnsi" w:hAnsiTheme="minorHAnsi" w:cstheme="minorHAnsi"/>
          <w:color w:val="222222"/>
          <w:sz w:val="18"/>
          <w:szCs w:val="18"/>
          <w:shd w:val="clear" w:color="auto" w:fill="FFFFFF"/>
        </w:rPr>
        <w:t xml:space="preserve">., Gupta, M., Rodriguez, H. C., </w:t>
      </w:r>
      <w:proofErr w:type="spellStart"/>
      <w:r w:rsidRPr="0010569A">
        <w:rPr>
          <w:rFonts w:asciiTheme="minorHAnsi" w:hAnsiTheme="minorHAnsi" w:cstheme="minorHAnsi"/>
          <w:color w:val="222222"/>
          <w:sz w:val="18"/>
          <w:szCs w:val="18"/>
          <w:shd w:val="clear" w:color="auto" w:fill="FFFFFF"/>
        </w:rPr>
        <w:t>Gautam</w:t>
      </w:r>
      <w:proofErr w:type="spellEnd"/>
      <w:r w:rsidRPr="0010569A">
        <w:rPr>
          <w:rFonts w:asciiTheme="minorHAnsi" w:hAnsiTheme="minorHAnsi" w:cstheme="minorHAnsi"/>
          <w:color w:val="222222"/>
          <w:sz w:val="18"/>
          <w:szCs w:val="18"/>
          <w:shd w:val="clear" w:color="auto" w:fill="FFFFFF"/>
        </w:rPr>
        <w:t xml:space="preserve">, S. S., &amp; Kadam, S. Mesenchymal stem cells and </w:t>
      </w:r>
      <w:proofErr w:type="spellStart"/>
      <w:r w:rsidRPr="0010569A">
        <w:rPr>
          <w:rFonts w:asciiTheme="minorHAnsi" w:hAnsiTheme="minorHAnsi" w:cstheme="minorHAnsi"/>
          <w:color w:val="222222"/>
          <w:sz w:val="18"/>
          <w:szCs w:val="18"/>
          <w:shd w:val="clear" w:color="auto" w:fill="FFFFFF"/>
        </w:rPr>
        <w:t>Exosome</w:t>
      </w:r>
      <w:proofErr w:type="spellEnd"/>
      <w:r w:rsidRPr="0010569A">
        <w:rPr>
          <w:rFonts w:asciiTheme="minorHAnsi" w:hAnsiTheme="minorHAnsi" w:cstheme="minorHAnsi"/>
          <w:color w:val="222222"/>
          <w:sz w:val="18"/>
          <w:szCs w:val="18"/>
          <w:shd w:val="clear" w:color="auto" w:fill="FFFFFF"/>
        </w:rPr>
        <w:t xml:space="preserve"> therapy for COVID-19: current status and future perspective. Human Cell, 2020, 1-12</w:t>
      </w:r>
      <w:r w:rsidR="005973B9" w:rsidRPr="0010569A">
        <w:rPr>
          <w:rFonts w:asciiTheme="minorHAnsi" w:hAnsiTheme="minorHAnsi" w:cstheme="minorHAnsi"/>
          <w:sz w:val="18"/>
          <w:szCs w:val="18"/>
        </w:rPr>
        <w:t>.</w:t>
      </w:r>
    </w:p>
    <w:p w:rsidR="00A16469" w:rsidRDefault="00700F43" w:rsidP="0010569A">
      <w:pPr>
        <w:pStyle w:val="ListParagraph"/>
        <w:widowControl/>
        <w:numPr>
          <w:ilvl w:val="0"/>
          <w:numId w:val="3"/>
        </w:numPr>
        <w:spacing w:before="0" w:line="218" w:lineRule="exact"/>
        <w:contextualSpacing/>
        <w:rPr>
          <w:rFonts w:asciiTheme="minorHAnsi" w:hAnsiTheme="minorHAnsi" w:cstheme="minorHAnsi"/>
          <w:sz w:val="18"/>
          <w:szCs w:val="18"/>
        </w:rPr>
      </w:pPr>
      <w:r w:rsidRPr="00A16469">
        <w:rPr>
          <w:rFonts w:asciiTheme="minorHAnsi" w:hAnsiTheme="minorHAnsi" w:cstheme="minorHAnsi"/>
          <w:b/>
          <w:bCs/>
          <w:sz w:val="18"/>
          <w:szCs w:val="18"/>
        </w:rPr>
        <w:t xml:space="preserve">Shivaji Kashte, </w:t>
      </w:r>
      <w:proofErr w:type="spellStart"/>
      <w:r w:rsidRPr="00A16469">
        <w:rPr>
          <w:rFonts w:asciiTheme="minorHAnsi" w:hAnsiTheme="minorHAnsi" w:cstheme="minorHAnsi"/>
          <w:sz w:val="18"/>
          <w:szCs w:val="18"/>
        </w:rPr>
        <w:t>Anshuman</w:t>
      </w:r>
      <w:proofErr w:type="spellEnd"/>
      <w:r w:rsidRPr="00A16469">
        <w:rPr>
          <w:rFonts w:asciiTheme="minorHAnsi" w:hAnsiTheme="minorHAnsi" w:cstheme="minorHAnsi"/>
          <w:sz w:val="18"/>
          <w:szCs w:val="18"/>
        </w:rPr>
        <w:t xml:space="preserve"> </w:t>
      </w:r>
      <w:proofErr w:type="spellStart"/>
      <w:r w:rsidRPr="00A16469">
        <w:rPr>
          <w:rFonts w:asciiTheme="minorHAnsi" w:hAnsiTheme="minorHAnsi" w:cstheme="minorHAnsi"/>
          <w:sz w:val="18"/>
          <w:szCs w:val="18"/>
        </w:rPr>
        <w:t>Dwivedi</w:t>
      </w:r>
      <w:proofErr w:type="spellEnd"/>
      <w:r w:rsidRPr="00A16469">
        <w:rPr>
          <w:rFonts w:asciiTheme="minorHAnsi" w:hAnsiTheme="minorHAnsi" w:cstheme="minorHAnsi"/>
          <w:sz w:val="18"/>
          <w:szCs w:val="18"/>
        </w:rPr>
        <w:t xml:space="preserve">, </w:t>
      </w:r>
      <w:proofErr w:type="spellStart"/>
      <w:r w:rsidRPr="00A16469">
        <w:rPr>
          <w:rFonts w:asciiTheme="minorHAnsi" w:hAnsiTheme="minorHAnsi" w:cstheme="minorHAnsi"/>
          <w:sz w:val="18"/>
          <w:szCs w:val="18"/>
        </w:rPr>
        <w:t>Shraddha</w:t>
      </w:r>
      <w:proofErr w:type="spellEnd"/>
      <w:r w:rsidRPr="00A16469">
        <w:rPr>
          <w:rFonts w:asciiTheme="minorHAnsi" w:hAnsiTheme="minorHAnsi" w:cstheme="minorHAnsi"/>
          <w:sz w:val="18"/>
          <w:szCs w:val="18"/>
        </w:rPr>
        <w:t xml:space="preserve"> </w:t>
      </w:r>
      <w:proofErr w:type="spellStart"/>
      <w:r w:rsidRPr="00A16469">
        <w:rPr>
          <w:rFonts w:asciiTheme="minorHAnsi" w:hAnsiTheme="minorHAnsi" w:cstheme="minorHAnsi"/>
          <w:sz w:val="18"/>
          <w:szCs w:val="18"/>
        </w:rPr>
        <w:t>Gautam</w:t>
      </w:r>
      <w:proofErr w:type="spellEnd"/>
      <w:r w:rsidRPr="00A16469">
        <w:rPr>
          <w:rFonts w:asciiTheme="minorHAnsi" w:hAnsiTheme="minorHAnsi" w:cstheme="minorHAnsi"/>
          <w:sz w:val="18"/>
          <w:szCs w:val="18"/>
        </w:rPr>
        <w:t>, R.K. S</w:t>
      </w:r>
      <w:r w:rsidRPr="00A16469">
        <w:rPr>
          <w:rFonts w:asciiTheme="minorHAnsi" w:hAnsiTheme="minorHAnsi" w:cstheme="minorHAnsi"/>
          <w:noProof/>
          <w:sz w:val="18"/>
          <w:szCs w:val="18"/>
        </w:rPr>
        <w:t>harma</w:t>
      </w:r>
      <w:r w:rsidRPr="00A16469">
        <w:rPr>
          <w:rFonts w:asciiTheme="minorHAnsi" w:hAnsiTheme="minorHAnsi" w:cstheme="minorHAnsi"/>
          <w:noProof/>
          <w:sz w:val="18"/>
          <w:szCs w:val="18"/>
          <w:vertAlign w:val="superscript"/>
        </w:rPr>
        <w:t xml:space="preserve"> </w:t>
      </w:r>
      <w:r w:rsidRPr="00A16469">
        <w:rPr>
          <w:rFonts w:asciiTheme="minorHAnsi" w:hAnsiTheme="minorHAnsi" w:cstheme="minorHAnsi"/>
          <w:sz w:val="18"/>
          <w:szCs w:val="18"/>
        </w:rPr>
        <w:t xml:space="preserve">and Sachin Kadam. Treatment of gingival recession defect using mesenchymal stem cells cultured </w:t>
      </w:r>
      <w:proofErr w:type="spellStart"/>
      <w:r w:rsidRPr="00A16469">
        <w:rPr>
          <w:rFonts w:asciiTheme="minorHAnsi" w:hAnsiTheme="minorHAnsi" w:cstheme="minorHAnsi"/>
          <w:sz w:val="18"/>
          <w:szCs w:val="18"/>
        </w:rPr>
        <w:t>pcl</w:t>
      </w:r>
      <w:proofErr w:type="spellEnd"/>
      <w:r w:rsidRPr="00A16469">
        <w:rPr>
          <w:rFonts w:asciiTheme="minorHAnsi" w:hAnsiTheme="minorHAnsi" w:cstheme="minorHAnsi"/>
          <w:sz w:val="18"/>
          <w:szCs w:val="18"/>
        </w:rPr>
        <w:t xml:space="preserve"> based bone regenerating scaffold: a randomized controlled clinical study.</w:t>
      </w:r>
      <w:r w:rsidRPr="00A16469">
        <w:rPr>
          <w:rFonts w:asciiTheme="minorHAnsi" w:hAnsiTheme="minorHAnsi" w:cstheme="minorHAnsi"/>
          <w:b/>
          <w:bCs/>
          <w:sz w:val="18"/>
          <w:szCs w:val="18"/>
        </w:rPr>
        <w:t xml:space="preserve"> </w:t>
      </w:r>
      <w:r w:rsidRPr="00A16469">
        <w:rPr>
          <w:rFonts w:asciiTheme="minorHAnsi" w:hAnsiTheme="minorHAnsi" w:cstheme="minorHAnsi"/>
          <w:sz w:val="18"/>
          <w:szCs w:val="18"/>
        </w:rPr>
        <w:t>International journal of applied pharmaceutics, 2020;12 (4);31-33</w:t>
      </w:r>
    </w:p>
    <w:p w:rsidR="005973B9" w:rsidRPr="00BB048A" w:rsidRDefault="00991B6B" w:rsidP="0010569A">
      <w:pPr>
        <w:pStyle w:val="ListParagraph"/>
        <w:widowControl/>
        <w:numPr>
          <w:ilvl w:val="0"/>
          <w:numId w:val="3"/>
        </w:numPr>
        <w:spacing w:before="0" w:line="216" w:lineRule="exact"/>
        <w:ind w:right="138"/>
        <w:contextualSpacing/>
        <w:rPr>
          <w:rFonts w:asciiTheme="minorHAnsi" w:hAnsiTheme="minorHAnsi" w:cstheme="minorHAnsi"/>
          <w:sz w:val="18"/>
          <w:szCs w:val="18"/>
        </w:rPr>
      </w:pPr>
      <w:r w:rsidRPr="00BB048A">
        <w:rPr>
          <w:rFonts w:asciiTheme="minorHAnsi" w:hAnsiTheme="minorHAnsi" w:cstheme="minorHAnsi"/>
          <w:b/>
          <w:bCs/>
          <w:sz w:val="18"/>
          <w:szCs w:val="18"/>
          <w:shd w:val="clear" w:color="auto" w:fill="FFFFFF"/>
        </w:rPr>
        <w:t>Shivaji Kashte</w:t>
      </w:r>
      <w:r w:rsidRPr="00BB048A">
        <w:rPr>
          <w:rFonts w:asciiTheme="minorHAnsi" w:hAnsiTheme="minorHAnsi" w:cstheme="minorHAnsi"/>
          <w:noProof/>
          <w:sz w:val="18"/>
          <w:szCs w:val="18"/>
        </w:rPr>
        <w:t>, Sharma RK, Kadam S. Layer-by-layer decorated herbal cell compatible scaffolds for bone tissue engineering : A synergistic effect of graphene oxide and Cissus quadrangularis. J Bioact Compat Polym. 2020;35(1):57–73</w:t>
      </w:r>
      <w:bookmarkStart w:id="0" w:name="_GoBack"/>
      <w:bookmarkEnd w:id="0"/>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bidi="mr-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bidi="mr-IN"/>
        </w:rPr>
        <w:drawing>
          <wp:inline distT="0" distB="0" distL="0" distR="0" wp14:anchorId="75F56CBE" wp14:editId="6359BBE4">
            <wp:extent cx="573575"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3575"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DB7863">
      <w:pPr>
        <w:spacing w:before="41" w:line="154" w:lineRule="exact"/>
        <w:ind w:left="213" w:right="231"/>
        <w:jc w:val="both"/>
        <w:rPr>
          <w:rFonts w:ascii="Arial"/>
          <w:sz w:val="14"/>
        </w:rPr>
      </w:pPr>
      <w:r>
        <w:rPr>
          <w:rFonts w:ascii="Arial"/>
          <w:sz w:val="14"/>
        </w:rPr>
        <w:t>Dr</w:t>
      </w:r>
      <w:r w:rsidR="0062759D">
        <w:rPr>
          <w:rFonts w:ascii="Arial"/>
          <w:sz w:val="14"/>
        </w:rPr>
        <w:t>.</w:t>
      </w:r>
      <w:r>
        <w:rPr>
          <w:rFonts w:ascii="Arial"/>
          <w:sz w:val="14"/>
        </w:rPr>
        <w:t xml:space="preserve"> Shivaji Kashte </w:t>
      </w:r>
      <w:r w:rsidR="0022490B">
        <w:rPr>
          <w:rFonts w:ascii="Arial"/>
          <w:sz w:val="14"/>
        </w:rPr>
        <w:t>has core interests</w:t>
      </w:r>
      <w:r w:rsidR="00A9710C">
        <w:rPr>
          <w:rFonts w:ascii="Arial"/>
          <w:sz w:val="14"/>
        </w:rPr>
        <w:t xml:space="preserve"> in </w:t>
      </w:r>
      <w:r>
        <w:rPr>
          <w:rFonts w:ascii="Arial"/>
          <w:sz w:val="14"/>
        </w:rPr>
        <w:t>Stem cells, biomaterials and their applications bone tissue engineering and wound healing</w:t>
      </w:r>
      <w:r w:rsidR="0062759D">
        <w:rPr>
          <w:rFonts w:ascii="Arial"/>
          <w:sz w:val="14"/>
        </w:rPr>
        <w:t>. He has developed the biocompatible and biofunctional herbal scaffolds and along with mesenchymal stem cells used to regenerate the bone tissue. He is working as an Assistant professor in the D Y Patil University</w:t>
      </w:r>
      <w:r w:rsidR="00CB7C1B">
        <w:rPr>
          <w:rFonts w:ascii="Arial"/>
          <w:sz w:val="14"/>
        </w:rPr>
        <w:t xml:space="preserve"> </w:t>
      </w:r>
      <w:r w:rsidR="00CB7C1B">
        <w:rPr>
          <w:rFonts w:ascii="Arial"/>
          <w:sz w:val="14"/>
        </w:rPr>
        <w:t>(DU)</w:t>
      </w:r>
      <w:r w:rsidR="0062759D">
        <w:rPr>
          <w:rFonts w:ascii="Arial"/>
          <w:sz w:val="14"/>
        </w:rPr>
        <w:t>, Kolhapur, India.</w:t>
      </w:r>
      <w:r w:rsidR="00A9710C">
        <w:rPr>
          <w:rFonts w:ascii="Arial"/>
          <w:sz w:val="14"/>
        </w:rPr>
        <w:t xml:space="preserve"> </w:t>
      </w:r>
      <w:r w:rsidR="00CB7C1B">
        <w:rPr>
          <w:rFonts w:ascii="Arial"/>
          <w:sz w:val="14"/>
        </w:rPr>
        <w:t xml:space="preserve">He has received the CSIR-UGC, New Delhi Junior research fellowship and </w:t>
      </w:r>
      <w:r w:rsidR="00272E5B">
        <w:rPr>
          <w:rFonts w:ascii="Arial"/>
          <w:sz w:val="14"/>
        </w:rPr>
        <w:t>senior</w:t>
      </w:r>
      <w:r w:rsidR="00CB7C1B">
        <w:rPr>
          <w:rFonts w:ascii="Arial"/>
          <w:sz w:val="14"/>
        </w:rPr>
        <w:t xml:space="preserve"> research fellowship during 2013 to 2016 at Defense Institute of Advanced Technology (DU), Pune and during 2016-2018 at D Y Patil University </w:t>
      </w:r>
      <w:r w:rsidR="00CB7C1B">
        <w:rPr>
          <w:rFonts w:ascii="Arial"/>
          <w:sz w:val="14"/>
        </w:rPr>
        <w:t>(DU)</w:t>
      </w:r>
      <w:r w:rsidR="00CB7C1B">
        <w:rPr>
          <w:rFonts w:ascii="Arial"/>
          <w:sz w:val="14"/>
        </w:rPr>
        <w:t xml:space="preserve">, Kolhapur, respectively. </w:t>
      </w:r>
      <w:r w:rsidR="009F6E29">
        <w:rPr>
          <w:rFonts w:ascii="Arial"/>
          <w:sz w:val="14"/>
        </w:rPr>
        <w:t>He has received Intramural research grant for project on wound healing during 2021.</w:t>
      </w:r>
      <w:r w:rsidR="00426FC9">
        <w:rPr>
          <w:rFonts w:ascii="Arial"/>
          <w:sz w:val="14"/>
        </w:rPr>
        <w:t xml:space="preserve"> He has published more than 15 research articles in inter</w:t>
      </w:r>
      <w:r w:rsidR="00BB72D5">
        <w:rPr>
          <w:rFonts w:ascii="Arial"/>
          <w:sz w:val="14"/>
        </w:rPr>
        <w:t>national peer reviewed journals and recently filed one Indian patent.</w:t>
      </w:r>
    </w:p>
    <w:p w:rsidR="00AE3E37" w:rsidRDefault="00A9710C">
      <w:pPr>
        <w:spacing w:before="62"/>
        <w:ind w:left="4217" w:right="4235"/>
        <w:jc w:val="center"/>
        <w:rPr>
          <w:rFonts w:ascii="Arial"/>
          <w:sz w:val="14"/>
        </w:rPr>
      </w:pPr>
      <w:r>
        <w:rPr>
          <w:rFonts w:ascii="Arial"/>
          <w:sz w:val="14"/>
        </w:rPr>
        <w:t xml:space="preserve">Email: </w:t>
      </w:r>
      <w:hyperlink r:id="rId12" w:history="1">
        <w:r w:rsidR="00DC4C93" w:rsidRPr="00103048">
          <w:rPr>
            <w:rStyle w:val="Hyperlink"/>
            <w:rFonts w:ascii="Arial"/>
            <w:sz w:val="14"/>
          </w:rPr>
          <w:t>kashtesb@gmail.com</w:t>
        </w:r>
      </w:hyperlink>
    </w:p>
    <w:p w:rsidR="00AE3E37" w:rsidRDefault="00292ED9">
      <w:pPr>
        <w:pStyle w:val="BodyText"/>
        <w:spacing w:before="2"/>
        <w:rPr>
          <w:rFonts w:ascii="Arial"/>
          <w:sz w:val="19"/>
        </w:rPr>
      </w:pPr>
      <w:r>
        <w:rPr>
          <w:noProof/>
          <w:lang w:val="en-IN" w:eastAsia="en-IN" w:bidi="mr-IN"/>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02B" w:rsidRDefault="00B3302B">
      <w:r>
        <w:separator/>
      </w:r>
    </w:p>
  </w:endnote>
  <w:endnote w:type="continuationSeparator" w:id="0">
    <w:p w:rsidR="00B3302B" w:rsidRDefault="00B33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mr-IN"/>
      </w:rPr>
      <mc:AlternateContent>
        <mc:Choice Requires="wps">
          <w:drawing>
            <wp:anchor distT="0" distB="0" distL="114300" distR="114300" simplePos="0" relativeHeight="503311928" behindDoc="1" locked="0" layoutInCell="1" allowOverlap="1" wp14:anchorId="67608F0D" wp14:editId="7E5CE6B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bidi="mr-IN"/>
      </w:rPr>
      <mc:AlternateContent>
        <mc:Choice Requires="wps">
          <w:drawing>
            <wp:anchor distT="0" distB="0" distL="114300" distR="114300" simplePos="0" relativeHeight="503311952" behindDoc="1" locked="0" layoutInCell="1" allowOverlap="1" wp14:anchorId="4D0D2559" wp14:editId="0C5E99D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mr-IN"/>
      </w:rPr>
      <mc:AlternateContent>
        <mc:Choice Requires="wps">
          <w:drawing>
            <wp:anchor distT="0" distB="0" distL="114300" distR="114300" simplePos="0" relativeHeight="503311976" behindDoc="1" locked="0" layoutInCell="1" allowOverlap="1" wp14:anchorId="24403355" wp14:editId="4DFE0B2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02B" w:rsidRDefault="00B3302B">
      <w:r>
        <w:separator/>
      </w:r>
    </w:p>
  </w:footnote>
  <w:footnote w:type="continuationSeparator" w:id="0">
    <w:p w:rsidR="00B3302B" w:rsidRDefault="00B330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mr-IN"/>
      </w:rPr>
      <mc:AlternateContent>
        <mc:Choice Requires="wps">
          <w:drawing>
            <wp:anchor distT="0" distB="0" distL="114300" distR="114300" simplePos="0" relativeHeight="503311880" behindDoc="1" locked="0" layoutInCell="1" allowOverlap="1" wp14:anchorId="28296180" wp14:editId="568E33E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bidi="mr-IN"/>
      </w:rPr>
      <mc:AlternateContent>
        <mc:Choice Requires="wps">
          <w:drawing>
            <wp:anchor distT="0" distB="0" distL="114300" distR="114300" simplePos="0" relativeHeight="503311904" behindDoc="1" locked="0" layoutInCell="1" allowOverlap="1" wp14:anchorId="28692A69" wp14:editId="658CD8A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41D2C"/>
    <w:multiLevelType w:val="hybridMultilevel"/>
    <w:tmpl w:val="CBC6EE66"/>
    <w:lvl w:ilvl="0" w:tplc="AE0215BE">
      <w:start w:val="1"/>
      <w:numFmt w:val="decimal"/>
      <w:lvlText w:val="%1."/>
      <w:lvlJc w:val="left"/>
      <w:pPr>
        <w:ind w:left="1080" w:hanging="360"/>
      </w:pPr>
      <w:rPr>
        <w:rFonts w:hint="default"/>
        <w:sz w:val="24"/>
        <w:szCs w:val="24"/>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53F8"/>
    <w:rsid w:val="000E2911"/>
    <w:rsid w:val="0010569A"/>
    <w:rsid w:val="001263DF"/>
    <w:rsid w:val="001D0D6C"/>
    <w:rsid w:val="00216B81"/>
    <w:rsid w:val="0022490B"/>
    <w:rsid w:val="002343DD"/>
    <w:rsid w:val="002455EC"/>
    <w:rsid w:val="002609C5"/>
    <w:rsid w:val="00272E5B"/>
    <w:rsid w:val="00292ED9"/>
    <w:rsid w:val="002A7E9A"/>
    <w:rsid w:val="002B0408"/>
    <w:rsid w:val="003D2AD4"/>
    <w:rsid w:val="003D61D1"/>
    <w:rsid w:val="00404E5B"/>
    <w:rsid w:val="00414F7B"/>
    <w:rsid w:val="00426FC9"/>
    <w:rsid w:val="004355DC"/>
    <w:rsid w:val="004749B4"/>
    <w:rsid w:val="00494130"/>
    <w:rsid w:val="004F3523"/>
    <w:rsid w:val="0053381E"/>
    <w:rsid w:val="005973B9"/>
    <w:rsid w:val="005A1969"/>
    <w:rsid w:val="005B3A56"/>
    <w:rsid w:val="006060CE"/>
    <w:rsid w:val="0062759D"/>
    <w:rsid w:val="00630432"/>
    <w:rsid w:val="0063497F"/>
    <w:rsid w:val="00700F43"/>
    <w:rsid w:val="00755A05"/>
    <w:rsid w:val="00794F6B"/>
    <w:rsid w:val="00805C2E"/>
    <w:rsid w:val="00824D65"/>
    <w:rsid w:val="008320A8"/>
    <w:rsid w:val="00873DF0"/>
    <w:rsid w:val="008756E6"/>
    <w:rsid w:val="00881CBB"/>
    <w:rsid w:val="008A08B6"/>
    <w:rsid w:val="00991B6B"/>
    <w:rsid w:val="009B2D44"/>
    <w:rsid w:val="009F6E29"/>
    <w:rsid w:val="00A07E82"/>
    <w:rsid w:val="00A16469"/>
    <w:rsid w:val="00A81DBD"/>
    <w:rsid w:val="00A9710C"/>
    <w:rsid w:val="00AD2707"/>
    <w:rsid w:val="00AE3E37"/>
    <w:rsid w:val="00B21A57"/>
    <w:rsid w:val="00B3302B"/>
    <w:rsid w:val="00BB048A"/>
    <w:rsid w:val="00BB72D5"/>
    <w:rsid w:val="00C33602"/>
    <w:rsid w:val="00CB7C1B"/>
    <w:rsid w:val="00CD6F55"/>
    <w:rsid w:val="00D0389D"/>
    <w:rsid w:val="00DB7863"/>
    <w:rsid w:val="00DC4C93"/>
    <w:rsid w:val="00DE3104"/>
    <w:rsid w:val="00DE3F45"/>
    <w:rsid w:val="00DE5A3C"/>
    <w:rsid w:val="00E06D93"/>
    <w:rsid w:val="00E21051"/>
    <w:rsid w:val="00E26B10"/>
    <w:rsid w:val="00E770E8"/>
    <w:rsid w:val="00EA4195"/>
    <w:rsid w:val="00F15A80"/>
    <w:rsid w:val="00F65BAD"/>
    <w:rsid w:val="00F673CD"/>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F65BAD"/>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F65BAD"/>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kashtesb@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785</Words>
  <Characters>4476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TOT!POTENT</cp:lastModifiedBy>
  <cp:revision>47</cp:revision>
  <dcterms:created xsi:type="dcterms:W3CDTF">2021-06-01T06:32:00Z</dcterms:created>
  <dcterms:modified xsi:type="dcterms:W3CDTF">2021-06-01T07:15:00Z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