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28699C" w14:textId="0A6864E9" w:rsidR="0097758D" w:rsidRPr="009B3F62" w:rsidRDefault="0097758D" w:rsidP="0097758D">
      <w:pPr>
        <w:pStyle w:val="NoSpacing"/>
        <w:spacing w:line="276" w:lineRule="auto"/>
        <w:rPr>
          <w:rFonts w:cstheme="minorHAnsi"/>
          <w:b/>
          <w:bCs/>
          <w:color w:val="595959" w:themeColor="text1" w:themeTint="A6"/>
          <w:sz w:val="22"/>
          <w:szCs w:val="22"/>
        </w:rPr>
      </w:pPr>
      <w:r w:rsidRPr="009B3F62">
        <w:rPr>
          <w:rFonts w:cstheme="minorHAnsi"/>
          <w:b/>
          <w:bCs/>
          <w:color w:val="595959" w:themeColor="text1" w:themeTint="A6"/>
          <w:sz w:val="22"/>
          <w:szCs w:val="22"/>
        </w:rPr>
        <w:t>A comparative quantification in cellularity of bone marrow aspirated with two new harvesting devices, and the nonequivalent difference between a centrifugated bone marrow concentrate and a bone marrow aspirate as biological injectates, using a bi-lateral patient model.</w:t>
      </w:r>
    </w:p>
    <w:p w14:paraId="7D0C50B4" w14:textId="77777777" w:rsidR="0097758D" w:rsidRPr="009B3F62" w:rsidRDefault="0097758D" w:rsidP="0097758D">
      <w:pPr>
        <w:pStyle w:val="NoSpacing"/>
        <w:spacing w:line="276" w:lineRule="auto"/>
        <w:rPr>
          <w:rFonts w:cstheme="minorHAnsi"/>
          <w:color w:val="595959" w:themeColor="text1" w:themeTint="A6"/>
          <w:sz w:val="22"/>
          <w:szCs w:val="22"/>
        </w:rPr>
      </w:pPr>
    </w:p>
    <w:p w14:paraId="6C55EDBA" w14:textId="2CD185F2" w:rsidR="0097758D" w:rsidRPr="009B3F62" w:rsidRDefault="0097758D" w:rsidP="0097758D">
      <w:pPr>
        <w:pStyle w:val="NoSpacing"/>
        <w:spacing w:line="276" w:lineRule="auto"/>
        <w:rPr>
          <w:rFonts w:cstheme="minorHAnsi"/>
          <w:color w:val="595959" w:themeColor="text1" w:themeTint="A6"/>
          <w:sz w:val="22"/>
          <w:szCs w:val="22"/>
        </w:rPr>
      </w:pPr>
      <w:r w:rsidRPr="009B3F62">
        <w:rPr>
          <w:rFonts w:cstheme="minorHAnsi"/>
          <w:color w:val="595959" w:themeColor="text1" w:themeTint="A6"/>
          <w:sz w:val="22"/>
          <w:szCs w:val="22"/>
        </w:rPr>
        <w:t>Peter A. Everts, PhD</w:t>
      </w:r>
      <w:r w:rsidRPr="009B3F62">
        <w:rPr>
          <w:rFonts w:cstheme="minorHAnsi"/>
          <w:color w:val="595959" w:themeColor="text1" w:themeTint="A6"/>
          <w:sz w:val="22"/>
          <w:szCs w:val="22"/>
          <w:vertAlign w:val="superscript"/>
        </w:rPr>
        <w:t>1</w:t>
      </w:r>
      <w:r w:rsidRPr="009B3F62">
        <w:rPr>
          <w:rFonts w:cstheme="minorHAnsi"/>
          <w:color w:val="595959" w:themeColor="text1" w:themeTint="A6"/>
          <w:sz w:val="22"/>
          <w:szCs w:val="22"/>
        </w:rPr>
        <w:t>, John Ferrell, MD</w:t>
      </w:r>
      <w:r w:rsidRPr="009B3F62">
        <w:rPr>
          <w:rFonts w:cstheme="minorHAnsi"/>
          <w:color w:val="595959" w:themeColor="text1" w:themeTint="A6"/>
          <w:sz w:val="22"/>
          <w:szCs w:val="22"/>
          <w:vertAlign w:val="superscript"/>
        </w:rPr>
        <w:t>2</w:t>
      </w:r>
      <w:r w:rsidRPr="009B3F62">
        <w:rPr>
          <w:rFonts w:cstheme="minorHAnsi"/>
          <w:color w:val="595959" w:themeColor="text1" w:themeTint="A6"/>
          <w:sz w:val="22"/>
          <w:szCs w:val="22"/>
        </w:rPr>
        <w:t>, Christine Brown Mahoney, PhD</w:t>
      </w:r>
      <w:r w:rsidRPr="009B3F62">
        <w:rPr>
          <w:rFonts w:cstheme="minorHAnsi"/>
          <w:color w:val="595959" w:themeColor="text1" w:themeTint="A6"/>
          <w:sz w:val="22"/>
          <w:szCs w:val="22"/>
          <w:vertAlign w:val="superscript"/>
          <w:lang w:val="es-AR"/>
        </w:rPr>
        <w:t>3</w:t>
      </w:r>
      <w:r w:rsidRPr="009B3F62">
        <w:rPr>
          <w:rFonts w:cstheme="minorHAnsi"/>
          <w:color w:val="595959" w:themeColor="text1" w:themeTint="A6"/>
          <w:sz w:val="22"/>
          <w:szCs w:val="22"/>
        </w:rPr>
        <w:t>, Glenn Flanagan II, MD</w:t>
      </w:r>
      <w:r w:rsidRPr="009B3F62">
        <w:rPr>
          <w:rFonts w:cstheme="minorHAnsi"/>
          <w:color w:val="595959" w:themeColor="text1" w:themeTint="A6"/>
          <w:sz w:val="22"/>
          <w:szCs w:val="22"/>
          <w:vertAlign w:val="superscript"/>
          <w:lang w:val="es-AR"/>
        </w:rPr>
        <w:t>4</w:t>
      </w:r>
      <w:r w:rsidRPr="009B3F62">
        <w:rPr>
          <w:rFonts w:cstheme="minorHAnsi"/>
          <w:color w:val="595959" w:themeColor="text1" w:themeTint="A6"/>
          <w:sz w:val="22"/>
          <w:szCs w:val="22"/>
        </w:rPr>
        <w:t>, Moises Irizarry-de Roman, MD</w:t>
      </w:r>
      <w:r w:rsidRPr="009B3F62">
        <w:rPr>
          <w:rFonts w:cstheme="minorHAnsi"/>
          <w:color w:val="595959" w:themeColor="text1" w:themeTint="A6"/>
          <w:sz w:val="22"/>
          <w:szCs w:val="22"/>
          <w:vertAlign w:val="superscript"/>
        </w:rPr>
        <w:t>5</w:t>
      </w:r>
      <w:r w:rsidRPr="009B3F62">
        <w:rPr>
          <w:rFonts w:cstheme="minorHAnsi"/>
          <w:color w:val="595959" w:themeColor="text1" w:themeTint="A6"/>
          <w:sz w:val="22"/>
          <w:szCs w:val="22"/>
        </w:rPr>
        <w:t>, Rowan Paul, MD</w:t>
      </w:r>
      <w:r w:rsidRPr="009B3F62">
        <w:rPr>
          <w:rFonts w:cstheme="minorHAnsi"/>
          <w:color w:val="595959" w:themeColor="text1" w:themeTint="A6"/>
          <w:sz w:val="22"/>
          <w:szCs w:val="22"/>
          <w:vertAlign w:val="superscript"/>
          <w:lang w:val="es-AR"/>
        </w:rPr>
        <w:t>6</w:t>
      </w:r>
      <w:r w:rsidRPr="009B3F62">
        <w:rPr>
          <w:rFonts w:cstheme="minorHAnsi"/>
          <w:color w:val="595959" w:themeColor="text1" w:themeTint="A6"/>
          <w:sz w:val="22"/>
          <w:szCs w:val="22"/>
        </w:rPr>
        <w:t>, Natalie Stephens, PhD</w:t>
      </w:r>
      <w:r w:rsidRPr="009B3F62">
        <w:rPr>
          <w:rFonts w:cstheme="minorHAnsi"/>
          <w:color w:val="595959" w:themeColor="text1" w:themeTint="A6"/>
          <w:sz w:val="22"/>
          <w:szCs w:val="22"/>
          <w:vertAlign w:val="superscript"/>
        </w:rPr>
        <w:t>7</w:t>
      </w:r>
      <w:r w:rsidRPr="009B3F62">
        <w:rPr>
          <w:rFonts w:cstheme="minorHAnsi"/>
          <w:color w:val="595959" w:themeColor="text1" w:themeTint="A6"/>
          <w:sz w:val="22"/>
          <w:szCs w:val="22"/>
        </w:rPr>
        <w:t>, Kenneth Mautner, MD</w:t>
      </w:r>
      <w:r w:rsidRPr="009B3F62">
        <w:rPr>
          <w:rFonts w:cstheme="minorHAnsi"/>
          <w:color w:val="595959" w:themeColor="text1" w:themeTint="A6"/>
          <w:sz w:val="22"/>
          <w:szCs w:val="22"/>
          <w:vertAlign w:val="superscript"/>
        </w:rPr>
        <w:t>8</w:t>
      </w:r>
      <w:r w:rsidRPr="009B3F62">
        <w:rPr>
          <w:rFonts w:cstheme="minorHAnsi"/>
          <w:color w:val="595959" w:themeColor="text1" w:themeTint="A6"/>
          <w:sz w:val="22"/>
          <w:szCs w:val="22"/>
        </w:rPr>
        <w:t>.</w:t>
      </w:r>
    </w:p>
    <w:p w14:paraId="378DE5D1" w14:textId="77777777" w:rsidR="0097758D" w:rsidRPr="009B3F62" w:rsidRDefault="0097758D" w:rsidP="0097758D">
      <w:pPr>
        <w:pStyle w:val="NoSpacing"/>
        <w:spacing w:line="276" w:lineRule="auto"/>
        <w:rPr>
          <w:rFonts w:cstheme="minorHAnsi"/>
          <w:color w:val="595959" w:themeColor="text1" w:themeTint="A6"/>
          <w:sz w:val="22"/>
          <w:szCs w:val="22"/>
        </w:rPr>
      </w:pPr>
    </w:p>
    <w:p w14:paraId="59B661DC" w14:textId="77777777" w:rsidR="0097758D" w:rsidRPr="009B3F62" w:rsidRDefault="0097758D" w:rsidP="0097758D">
      <w:pPr>
        <w:pStyle w:val="NoSpacing"/>
        <w:spacing w:line="276" w:lineRule="auto"/>
        <w:rPr>
          <w:rFonts w:cstheme="minorHAnsi"/>
          <w:color w:val="595959" w:themeColor="text1" w:themeTint="A6"/>
          <w:sz w:val="22"/>
          <w:szCs w:val="22"/>
        </w:rPr>
      </w:pPr>
      <w:r w:rsidRPr="009B3F62">
        <w:rPr>
          <w:rFonts w:cstheme="minorHAnsi"/>
          <w:color w:val="595959" w:themeColor="text1" w:themeTint="A6"/>
          <w:sz w:val="22"/>
          <w:szCs w:val="22"/>
          <w:vertAlign w:val="superscript"/>
        </w:rPr>
        <w:t xml:space="preserve">1 </w:t>
      </w:r>
      <w:r w:rsidRPr="009B3F62">
        <w:rPr>
          <w:rFonts w:cstheme="minorHAnsi"/>
          <w:color w:val="595959" w:themeColor="text1" w:themeTint="A6"/>
          <w:sz w:val="22"/>
          <w:szCs w:val="22"/>
        </w:rPr>
        <w:t>Gulf Coast Biologics, Scientific and Research Department, Fort Myers FL, USA.</w:t>
      </w:r>
    </w:p>
    <w:p w14:paraId="44D51415" w14:textId="77777777" w:rsidR="0097758D" w:rsidRPr="009B3F62" w:rsidRDefault="0097758D" w:rsidP="0097758D">
      <w:pPr>
        <w:pStyle w:val="NoSpacing"/>
        <w:spacing w:line="276" w:lineRule="auto"/>
        <w:rPr>
          <w:rFonts w:cstheme="minorHAnsi"/>
          <w:color w:val="595959" w:themeColor="text1" w:themeTint="A6"/>
          <w:sz w:val="22"/>
          <w:szCs w:val="22"/>
        </w:rPr>
      </w:pPr>
      <w:r w:rsidRPr="009B3F62">
        <w:rPr>
          <w:rFonts w:cstheme="minorHAnsi"/>
          <w:color w:val="595959" w:themeColor="text1" w:themeTint="A6"/>
          <w:sz w:val="22"/>
          <w:szCs w:val="22"/>
          <w:vertAlign w:val="superscript"/>
        </w:rPr>
        <w:t xml:space="preserve">2 </w:t>
      </w:r>
      <w:r w:rsidRPr="009B3F62">
        <w:rPr>
          <w:rFonts w:cstheme="minorHAnsi"/>
          <w:color w:val="595959" w:themeColor="text1" w:themeTint="A6"/>
          <w:sz w:val="22"/>
          <w:szCs w:val="22"/>
        </w:rPr>
        <w:t>Regenerative Orthopedics &amp; Sports Medicine, Rockville MD, USA</w:t>
      </w:r>
    </w:p>
    <w:p w14:paraId="3D703754" w14:textId="77777777" w:rsidR="0097758D" w:rsidRPr="009B3F62" w:rsidRDefault="0097758D" w:rsidP="0097758D">
      <w:pPr>
        <w:pStyle w:val="NoSpacing"/>
        <w:spacing w:line="276" w:lineRule="auto"/>
        <w:rPr>
          <w:rFonts w:cstheme="minorHAnsi"/>
          <w:color w:val="595959" w:themeColor="text1" w:themeTint="A6"/>
          <w:sz w:val="22"/>
          <w:szCs w:val="22"/>
          <w:shd w:val="clear" w:color="auto" w:fill="FFFFFF"/>
        </w:rPr>
      </w:pPr>
      <w:r w:rsidRPr="009B3F62">
        <w:rPr>
          <w:rFonts w:cstheme="minorHAnsi"/>
          <w:color w:val="595959" w:themeColor="text1" w:themeTint="A6"/>
          <w:sz w:val="22"/>
          <w:szCs w:val="22"/>
          <w:vertAlign w:val="superscript"/>
          <w:lang w:val="es-AR"/>
        </w:rPr>
        <w:t xml:space="preserve">3 </w:t>
      </w:r>
      <w:r w:rsidRPr="009B3F62">
        <w:rPr>
          <w:rFonts w:cstheme="minorHAnsi"/>
          <w:color w:val="595959" w:themeColor="text1" w:themeTint="A6"/>
          <w:sz w:val="22"/>
          <w:szCs w:val="22"/>
          <w:lang w:val="es-AR"/>
        </w:rPr>
        <w:t>Minnesota State University, College of Business, Mankato MN, USA</w:t>
      </w:r>
    </w:p>
    <w:p w14:paraId="15077938" w14:textId="77777777" w:rsidR="0097758D" w:rsidRPr="009B3F62" w:rsidRDefault="0097758D" w:rsidP="0097758D">
      <w:pPr>
        <w:pStyle w:val="NoSpacing"/>
        <w:spacing w:line="276" w:lineRule="auto"/>
        <w:rPr>
          <w:rFonts w:cstheme="minorHAnsi"/>
          <w:color w:val="595959" w:themeColor="text1" w:themeTint="A6"/>
          <w:sz w:val="22"/>
          <w:szCs w:val="22"/>
        </w:rPr>
      </w:pPr>
      <w:r w:rsidRPr="009B3F62">
        <w:rPr>
          <w:rFonts w:cstheme="minorHAnsi"/>
          <w:color w:val="595959" w:themeColor="text1" w:themeTint="A6"/>
          <w:sz w:val="22"/>
          <w:szCs w:val="22"/>
          <w:vertAlign w:val="superscript"/>
          <w:lang w:val="es-AR"/>
        </w:rPr>
        <w:t xml:space="preserve">4 </w:t>
      </w:r>
      <w:r w:rsidRPr="009B3F62">
        <w:rPr>
          <w:rFonts w:cstheme="minorHAnsi"/>
          <w:color w:val="595959" w:themeColor="text1" w:themeTint="A6"/>
          <w:sz w:val="22"/>
          <w:szCs w:val="22"/>
        </w:rPr>
        <w:t>Naples Regenerative Institute, Naples FL 34103, USA</w:t>
      </w:r>
    </w:p>
    <w:p w14:paraId="5AC21BCE" w14:textId="77777777" w:rsidR="0097758D" w:rsidRPr="009B3F62" w:rsidRDefault="0097758D" w:rsidP="0097758D">
      <w:pPr>
        <w:pStyle w:val="NoSpacing"/>
        <w:spacing w:line="276" w:lineRule="auto"/>
        <w:rPr>
          <w:rFonts w:cstheme="minorHAnsi"/>
          <w:color w:val="595959" w:themeColor="text1" w:themeTint="A6"/>
          <w:sz w:val="22"/>
          <w:szCs w:val="22"/>
          <w:vertAlign w:val="superscript"/>
        </w:rPr>
      </w:pPr>
      <w:r w:rsidRPr="009B3F62">
        <w:rPr>
          <w:rFonts w:cstheme="minorHAnsi"/>
          <w:color w:val="595959" w:themeColor="text1" w:themeTint="A6"/>
          <w:sz w:val="22"/>
          <w:szCs w:val="22"/>
          <w:vertAlign w:val="superscript"/>
        </w:rPr>
        <w:t xml:space="preserve">5 </w:t>
      </w:r>
      <w:r w:rsidRPr="009B3F62">
        <w:rPr>
          <w:rFonts w:cstheme="minorHAnsi"/>
          <w:color w:val="595959" w:themeColor="text1" w:themeTint="A6"/>
          <w:sz w:val="22"/>
          <w:szCs w:val="22"/>
        </w:rPr>
        <w:t>No Merci Sports Medicine, Miami FL, USA</w:t>
      </w:r>
    </w:p>
    <w:p w14:paraId="63B18C18" w14:textId="77777777" w:rsidR="0097758D" w:rsidRPr="009B3F62" w:rsidRDefault="0097758D" w:rsidP="0097758D">
      <w:pPr>
        <w:pStyle w:val="NoSpacing"/>
        <w:spacing w:line="276" w:lineRule="auto"/>
        <w:rPr>
          <w:rFonts w:cstheme="minorHAnsi"/>
          <w:color w:val="595959" w:themeColor="text1" w:themeTint="A6"/>
          <w:sz w:val="22"/>
          <w:szCs w:val="22"/>
          <w:lang w:val="es-AR"/>
        </w:rPr>
      </w:pPr>
      <w:r w:rsidRPr="009B3F62">
        <w:rPr>
          <w:rFonts w:cstheme="minorHAnsi"/>
          <w:color w:val="595959" w:themeColor="text1" w:themeTint="A6"/>
          <w:sz w:val="22"/>
          <w:szCs w:val="22"/>
          <w:vertAlign w:val="superscript"/>
          <w:lang w:val="es-AR"/>
        </w:rPr>
        <w:t xml:space="preserve">6 </w:t>
      </w:r>
      <w:r w:rsidRPr="009B3F62">
        <w:rPr>
          <w:rFonts w:cstheme="minorHAnsi"/>
          <w:color w:val="595959" w:themeColor="text1" w:themeTint="A6"/>
          <w:sz w:val="22"/>
          <w:szCs w:val="22"/>
          <w:lang w:val="es-AR"/>
        </w:rPr>
        <w:t>California Pacific Orthopedics, San Francisco, CA; California Pacific Medical Center, San Fransisco, CA, USA; Darthmouth Geisel School of Medicine, Hanover, NH, USA.</w:t>
      </w:r>
    </w:p>
    <w:p w14:paraId="2D5861E4" w14:textId="77777777" w:rsidR="0097758D" w:rsidRPr="009B3F62" w:rsidRDefault="0097758D" w:rsidP="0097758D">
      <w:pPr>
        <w:pStyle w:val="NoSpacing"/>
        <w:spacing w:line="276" w:lineRule="auto"/>
        <w:rPr>
          <w:rFonts w:cstheme="minorHAnsi"/>
          <w:color w:val="595959" w:themeColor="text1" w:themeTint="A6"/>
          <w:sz w:val="22"/>
          <w:szCs w:val="22"/>
          <w:shd w:val="clear" w:color="auto" w:fill="FFFFFF"/>
        </w:rPr>
      </w:pPr>
      <w:r w:rsidRPr="009B3F62">
        <w:rPr>
          <w:rFonts w:cstheme="minorHAnsi"/>
          <w:color w:val="595959" w:themeColor="text1" w:themeTint="A6"/>
          <w:sz w:val="22"/>
          <w:szCs w:val="22"/>
          <w:vertAlign w:val="superscript"/>
        </w:rPr>
        <w:t xml:space="preserve">7 </w:t>
      </w:r>
      <w:r w:rsidRPr="009B3F62">
        <w:rPr>
          <w:rFonts w:cstheme="minorHAnsi"/>
          <w:color w:val="595959" w:themeColor="text1" w:themeTint="A6"/>
          <w:sz w:val="22"/>
          <w:szCs w:val="22"/>
          <w:shd w:val="clear" w:color="auto" w:fill="FFFFFF"/>
        </w:rPr>
        <w:t>Biosciences Research Associates, Cambridge MA, USA.</w:t>
      </w:r>
    </w:p>
    <w:p w14:paraId="32B03442" w14:textId="287E6BEF" w:rsidR="0097758D" w:rsidRPr="009B3F62" w:rsidRDefault="0097758D" w:rsidP="0097758D">
      <w:pPr>
        <w:pStyle w:val="NoSpacing"/>
        <w:spacing w:line="276" w:lineRule="auto"/>
        <w:rPr>
          <w:rFonts w:cstheme="minorHAnsi"/>
          <w:color w:val="595959" w:themeColor="text1" w:themeTint="A6"/>
        </w:rPr>
      </w:pPr>
      <w:r w:rsidRPr="009B3F62">
        <w:rPr>
          <w:rFonts w:cstheme="minorHAnsi"/>
          <w:color w:val="595959" w:themeColor="text1" w:themeTint="A6"/>
          <w:sz w:val="22"/>
          <w:szCs w:val="22"/>
          <w:vertAlign w:val="superscript"/>
        </w:rPr>
        <w:t xml:space="preserve">8 </w:t>
      </w:r>
      <w:r w:rsidRPr="009B3F62">
        <w:rPr>
          <w:rFonts w:cstheme="minorHAnsi"/>
          <w:color w:val="595959" w:themeColor="text1" w:themeTint="A6"/>
          <w:sz w:val="22"/>
          <w:szCs w:val="22"/>
        </w:rPr>
        <w:t xml:space="preserve">Emory University, Department of Physical Medicine &amp; Rehabilitation &amp; Department of Orthopedics, </w:t>
      </w:r>
      <w:proofErr w:type="gramStart"/>
      <w:r w:rsidRPr="009B3F62">
        <w:rPr>
          <w:rFonts w:cstheme="minorHAnsi"/>
          <w:color w:val="595959" w:themeColor="text1" w:themeTint="A6"/>
          <w:sz w:val="22"/>
          <w:szCs w:val="22"/>
        </w:rPr>
        <w:t xml:space="preserve">Atlanta, </w:t>
      </w:r>
      <w:r w:rsidRPr="009B3F62">
        <w:rPr>
          <w:rFonts w:cstheme="minorHAnsi"/>
          <w:color w:val="595959" w:themeColor="text1" w:themeTint="A6"/>
          <w:sz w:val="22"/>
          <w:szCs w:val="22"/>
        </w:rPr>
        <w:t xml:space="preserve">  </w:t>
      </w:r>
      <w:proofErr w:type="gramEnd"/>
      <w:r w:rsidRPr="009B3F62">
        <w:rPr>
          <w:rFonts w:cstheme="minorHAnsi"/>
          <w:color w:val="595959" w:themeColor="text1" w:themeTint="A6"/>
          <w:sz w:val="22"/>
          <w:szCs w:val="22"/>
        </w:rPr>
        <w:t xml:space="preserve"> </w:t>
      </w:r>
      <w:r w:rsidRPr="009B3F62">
        <w:rPr>
          <w:rFonts w:cstheme="minorHAnsi"/>
          <w:color w:val="595959" w:themeColor="text1" w:themeTint="A6"/>
          <w:sz w:val="22"/>
          <w:szCs w:val="22"/>
        </w:rPr>
        <w:t>GA, USA</w:t>
      </w:r>
      <w:r w:rsidRPr="009B3F62">
        <w:rPr>
          <w:rFonts w:cstheme="minorHAnsi"/>
          <w:color w:val="595959" w:themeColor="text1" w:themeTint="A6"/>
        </w:rPr>
        <w:t>.</w:t>
      </w:r>
    </w:p>
    <w:p w14:paraId="61F3ECF3" w14:textId="65D609DB" w:rsidR="0097758D" w:rsidRPr="009B3F62" w:rsidRDefault="0097758D" w:rsidP="0097758D">
      <w:pPr>
        <w:pStyle w:val="NoSpacing"/>
        <w:spacing w:line="276" w:lineRule="auto"/>
        <w:rPr>
          <w:rFonts w:cstheme="minorHAnsi"/>
          <w:b/>
          <w:bCs/>
          <w:color w:val="595959" w:themeColor="text1" w:themeTint="A6"/>
        </w:rPr>
      </w:pPr>
    </w:p>
    <w:p w14:paraId="5F0E0EF9" w14:textId="77777777" w:rsidR="007B7F74" w:rsidRPr="009B3F62" w:rsidRDefault="007B7F74">
      <w:pPr>
        <w:spacing w:line="187" w:lineRule="auto"/>
        <w:rPr>
          <w:rFonts w:asciiTheme="minorHAnsi" w:hAnsiTheme="minorHAnsi" w:cstheme="minorHAnsi"/>
          <w:color w:val="595959" w:themeColor="text1" w:themeTint="A6"/>
        </w:rPr>
        <w:sectPr w:rsidR="007B7F74" w:rsidRPr="009B3F62">
          <w:type w:val="continuous"/>
          <w:pgSz w:w="11920" w:h="16850"/>
          <w:pgMar w:top="1220" w:right="440" w:bottom="280" w:left="460" w:header="720" w:footer="720" w:gutter="0"/>
          <w:cols w:space="720"/>
        </w:sectPr>
      </w:pPr>
    </w:p>
    <w:p w14:paraId="0D6B8287" w14:textId="77777777" w:rsidR="0097758D" w:rsidRPr="009B3F62" w:rsidRDefault="009B3F62" w:rsidP="0097758D">
      <w:pPr>
        <w:pStyle w:val="NoSpacing"/>
        <w:spacing w:line="276" w:lineRule="auto"/>
        <w:rPr>
          <w:rFonts w:cstheme="minorHAnsi"/>
          <w:color w:val="595959" w:themeColor="text1" w:themeTint="A6"/>
        </w:rPr>
      </w:pPr>
      <w:r w:rsidRPr="009B3F62">
        <w:rPr>
          <w:rFonts w:cstheme="minorHAnsi"/>
          <w:color w:val="595959" w:themeColor="text1" w:themeTint="A6"/>
        </w:rPr>
        <w:t>Keywo</w:t>
      </w:r>
      <w:r w:rsidRPr="009B3F62">
        <w:rPr>
          <w:rFonts w:cstheme="minorHAnsi"/>
          <w:color w:val="595959" w:themeColor="text1" w:themeTint="A6"/>
        </w:rPr>
        <w:t xml:space="preserve">rds: </w:t>
      </w:r>
      <w:r w:rsidR="0097758D" w:rsidRPr="009B3F62">
        <w:rPr>
          <w:rFonts w:cstheme="minorHAnsi"/>
          <w:color w:val="595959" w:themeColor="text1" w:themeTint="A6"/>
        </w:rPr>
        <w:t>Bone marrow concentrate, bone marrow aspirate, mesenchymal stem cells, preferential aspiration</w:t>
      </w:r>
    </w:p>
    <w:p w14:paraId="2643089D" w14:textId="5F848570" w:rsidR="007B7F74" w:rsidRPr="009B3F62" w:rsidRDefault="009B3F62">
      <w:pPr>
        <w:pStyle w:val="ListParagraph"/>
        <w:numPr>
          <w:ilvl w:val="0"/>
          <w:numId w:val="1"/>
        </w:numPr>
        <w:tabs>
          <w:tab w:val="left" w:pos="1547"/>
        </w:tabs>
        <w:jc w:val="both"/>
        <w:rPr>
          <w:b/>
          <w:color w:val="595959" w:themeColor="text1" w:themeTint="A6"/>
          <w:sz w:val="18"/>
        </w:rPr>
      </w:pPr>
      <w:r w:rsidRPr="009B3F62">
        <w:rPr>
          <w:b/>
          <w:color w:val="595959" w:themeColor="text1" w:themeTint="A6"/>
          <w:sz w:val="18"/>
        </w:rPr>
        <w:t>A</w:t>
      </w:r>
      <w:r w:rsidRPr="009B3F62">
        <w:rPr>
          <w:b/>
          <w:color w:val="595959" w:themeColor="text1" w:themeTint="A6"/>
          <w:sz w:val="18"/>
        </w:rPr>
        <w:t xml:space="preserve">bstract </w:t>
      </w:r>
    </w:p>
    <w:p w14:paraId="399D6CB7" w14:textId="0BA4F9D9" w:rsidR="0097758D" w:rsidRPr="009B3F62" w:rsidRDefault="0097758D" w:rsidP="0097758D">
      <w:pPr>
        <w:pStyle w:val="NoSpacing"/>
        <w:spacing w:line="276" w:lineRule="auto"/>
        <w:rPr>
          <w:rFonts w:ascii="Times New Roman" w:hAnsi="Times New Roman" w:cs="Times New Roman"/>
          <w:color w:val="595959" w:themeColor="text1" w:themeTint="A6"/>
          <w:sz w:val="18"/>
          <w:szCs w:val="18"/>
        </w:rPr>
      </w:pPr>
      <w:r w:rsidRPr="009B3F62">
        <w:rPr>
          <w:rFonts w:ascii="Times New Roman" w:hAnsi="Times New Roman" w:cs="Times New Roman"/>
          <w:color w:val="595959" w:themeColor="text1" w:themeTint="A6"/>
          <w:sz w:val="18"/>
          <w:szCs w:val="18"/>
        </w:rPr>
        <w:t>The first aim of this study was to examine the cellularity and quality of autologous bone marrow aspirates harvested with two novel FDA-cleared devices, the Aspire™ bone marrow aspiration system (AS-BMAS) and the Marrow Cellution bone marrow aspiration device (MC-BMAD). Compared to traditional bone marrow harvesting needle systems, both these devices have a closed distal tip, avoiding preferential marrow collection (peripheral blood aspiration), and the side holes facilitate more horizontal marrow extraction. The second aim was to demonstrate the effectiveness of mechanical centrifugation of a large volume of extracted bone marrow to produce a bone marrow concentrate (BMC). Finally, we directly compared bone marrow constituents aspirated with MC-BMAD with a BMC, generated by centrifugation of bone marrow harvested using the AS-BMAS. A bi-lateral patient model</w:t>
      </w:r>
      <w:r w:rsidRPr="009B3F62" w:rsidDel="00AB2D5D">
        <w:rPr>
          <w:rFonts w:ascii="Times New Roman" w:hAnsi="Times New Roman" w:cs="Times New Roman"/>
          <w:color w:val="595959" w:themeColor="text1" w:themeTint="A6"/>
          <w:sz w:val="18"/>
          <w:szCs w:val="18"/>
        </w:rPr>
        <w:t xml:space="preserve"> </w:t>
      </w:r>
      <w:r w:rsidRPr="009B3F62">
        <w:rPr>
          <w:rFonts w:ascii="Times New Roman" w:hAnsi="Times New Roman" w:cs="Times New Roman"/>
          <w:color w:val="595959" w:themeColor="text1" w:themeTint="A6"/>
          <w:sz w:val="18"/>
          <w:szCs w:val="18"/>
        </w:rPr>
        <w:t>was used for all comparisons. All cellular analyses included the measurement of Colony-Forming Units-fibroblasts (CFU/f) levels, CD34</w:t>
      </w:r>
      <w:r w:rsidRPr="009B3F62">
        <w:rPr>
          <w:rFonts w:ascii="Times New Roman" w:hAnsi="Times New Roman" w:cs="Times New Roman"/>
          <w:color w:val="595959" w:themeColor="text1" w:themeTint="A6"/>
          <w:kern w:val="28"/>
          <w:sz w:val="18"/>
          <w:szCs w:val="18"/>
          <w:vertAlign w:val="superscript"/>
        </w:rPr>
        <w:t>+</w:t>
      </w:r>
      <w:r w:rsidRPr="009B3F62">
        <w:rPr>
          <w:rFonts w:ascii="Times New Roman" w:hAnsi="Times New Roman" w:cs="Times New Roman"/>
          <w:color w:val="595959" w:themeColor="text1" w:themeTint="A6"/>
          <w:sz w:val="18"/>
          <w:szCs w:val="18"/>
        </w:rPr>
        <w:t>cells/ml, Total Nucleated Cells (TNCs)/ml, platelets/ml, and Red Blood Cells (RBCs)/ml. 12 patients consented to the study. In the direct BMA comparison, the AS-BMAS bone marrow yielded significantly higher CFU/f counts and TNC concentrations than the MC-BMAD (1,060/ml, 33.5 x 10</w:t>
      </w:r>
      <w:r w:rsidRPr="009B3F62">
        <w:rPr>
          <w:rFonts w:ascii="Times New Roman" w:hAnsi="Times New Roman" w:cs="Times New Roman"/>
          <w:color w:val="595959" w:themeColor="text1" w:themeTint="A6"/>
          <w:sz w:val="18"/>
          <w:szCs w:val="18"/>
          <w:vertAlign w:val="superscript"/>
        </w:rPr>
        <w:t>6</w:t>
      </w:r>
      <w:r w:rsidRPr="009B3F62">
        <w:rPr>
          <w:rFonts w:ascii="Times New Roman" w:hAnsi="Times New Roman" w:cs="Times New Roman"/>
          <w:color w:val="595959" w:themeColor="text1" w:themeTint="A6"/>
          <w:sz w:val="18"/>
          <w:szCs w:val="18"/>
        </w:rPr>
        <w:t>/ml, and 610/ml and 28.6 x 10</w:t>
      </w:r>
      <w:r w:rsidRPr="009B3F62">
        <w:rPr>
          <w:rFonts w:ascii="Times New Roman" w:hAnsi="Times New Roman" w:cs="Times New Roman"/>
          <w:color w:val="595959" w:themeColor="text1" w:themeTint="A6"/>
          <w:sz w:val="18"/>
          <w:szCs w:val="18"/>
          <w:vertAlign w:val="superscript"/>
        </w:rPr>
        <w:t>6</w:t>
      </w:r>
      <w:r w:rsidRPr="009B3F62">
        <w:rPr>
          <w:rFonts w:ascii="Times New Roman" w:hAnsi="Times New Roman" w:cs="Times New Roman"/>
          <w:color w:val="595959" w:themeColor="text1" w:themeTint="A6"/>
          <w:sz w:val="18"/>
          <w:szCs w:val="18"/>
        </w:rPr>
        <w:t>/ml, respectively), with comparable platelet and RBC concentrations. Data following BMA concentration to produce a BMC revealed highly significant cell yields, fewer RBCs, and lower hematocrit (HCT). A direct cellular comparison between the aspirate of the MC-BMAD and centrifugated BMC following marrow extraction showed highly significant differences in cellularity for all tested variables. We believe that concentrating bone marrow is a consistent and safe method to produce a BMC that has the potential to be clinically effective. Furthermore, data indicate a nonequivalent difference in BMC cellularity, when compared to a non-filtered and non-centrifugated BMA for clinical use.</w:t>
      </w:r>
    </w:p>
    <w:p w14:paraId="5311B4BA" w14:textId="694F1491" w:rsidR="0097758D" w:rsidRPr="009B3F62" w:rsidRDefault="0097758D" w:rsidP="0097758D">
      <w:pPr>
        <w:pStyle w:val="NoSpacing"/>
        <w:spacing w:line="276" w:lineRule="auto"/>
        <w:rPr>
          <w:rFonts w:ascii="Times New Roman" w:hAnsi="Times New Roman" w:cs="Times New Roman"/>
          <w:color w:val="595959" w:themeColor="text1" w:themeTint="A6"/>
          <w:sz w:val="18"/>
          <w:szCs w:val="18"/>
        </w:rPr>
      </w:pPr>
    </w:p>
    <w:p w14:paraId="19D4E614" w14:textId="178B5A38" w:rsidR="0097758D" w:rsidRPr="009B3F62" w:rsidRDefault="0097758D" w:rsidP="0097758D">
      <w:pPr>
        <w:pStyle w:val="NoSpacing"/>
        <w:spacing w:line="276" w:lineRule="auto"/>
        <w:rPr>
          <w:rFonts w:ascii="Times New Roman" w:hAnsi="Times New Roman" w:cs="Times New Roman"/>
          <w:color w:val="595959" w:themeColor="text1" w:themeTint="A6"/>
          <w:sz w:val="18"/>
          <w:szCs w:val="18"/>
        </w:rPr>
      </w:pPr>
    </w:p>
    <w:p w14:paraId="5810DEB9" w14:textId="77777777" w:rsidR="0097758D" w:rsidRPr="009B3F62" w:rsidRDefault="0097758D" w:rsidP="0097758D">
      <w:pPr>
        <w:pStyle w:val="NoSpacing"/>
        <w:spacing w:line="276" w:lineRule="auto"/>
        <w:rPr>
          <w:rFonts w:ascii="Times New Roman" w:hAnsi="Times New Roman" w:cs="Times New Roman"/>
          <w:color w:val="595959" w:themeColor="text1" w:themeTint="A6"/>
          <w:sz w:val="18"/>
          <w:szCs w:val="18"/>
        </w:rPr>
      </w:pPr>
    </w:p>
    <w:p w14:paraId="3730EC40" w14:textId="5F2A7204" w:rsidR="0097758D" w:rsidRPr="009B3F62" w:rsidRDefault="0097758D" w:rsidP="0097758D">
      <w:pPr>
        <w:pStyle w:val="NoSpacing"/>
        <w:spacing w:line="276" w:lineRule="auto"/>
        <w:rPr>
          <w:rFonts w:ascii="Times New Roman" w:hAnsi="Times New Roman" w:cs="Times New Roman"/>
          <w:color w:val="595959" w:themeColor="text1" w:themeTint="A6"/>
          <w:sz w:val="18"/>
          <w:szCs w:val="18"/>
        </w:rPr>
      </w:pPr>
    </w:p>
    <w:p w14:paraId="7A64E502" w14:textId="0BB26A9A" w:rsidR="004B3200" w:rsidRPr="009B3F62" w:rsidRDefault="004B3200" w:rsidP="0097758D">
      <w:pPr>
        <w:pStyle w:val="NoSpacing"/>
        <w:spacing w:line="276" w:lineRule="auto"/>
        <w:rPr>
          <w:rFonts w:ascii="Times New Roman" w:hAnsi="Times New Roman" w:cs="Times New Roman"/>
          <w:color w:val="595959" w:themeColor="text1" w:themeTint="A6"/>
          <w:sz w:val="18"/>
          <w:szCs w:val="18"/>
        </w:rPr>
      </w:pPr>
    </w:p>
    <w:p w14:paraId="56B04693" w14:textId="77777777" w:rsidR="004B3200" w:rsidRPr="009B3F62" w:rsidRDefault="004B3200" w:rsidP="0097758D">
      <w:pPr>
        <w:pStyle w:val="NoSpacing"/>
        <w:spacing w:line="276" w:lineRule="auto"/>
        <w:rPr>
          <w:rFonts w:ascii="Times New Roman" w:hAnsi="Times New Roman" w:cs="Times New Roman"/>
          <w:color w:val="595959" w:themeColor="text1" w:themeTint="A6"/>
          <w:sz w:val="18"/>
          <w:szCs w:val="18"/>
        </w:rPr>
      </w:pPr>
    </w:p>
    <w:p w14:paraId="57B6AA07" w14:textId="491C3080" w:rsidR="007B7F74" w:rsidRPr="009B3F62" w:rsidRDefault="007B7F74">
      <w:pPr>
        <w:pStyle w:val="BodyText"/>
        <w:spacing w:before="10"/>
        <w:rPr>
          <w:color w:val="595959" w:themeColor="text1" w:themeTint="A6"/>
        </w:rPr>
      </w:pPr>
    </w:p>
    <w:p w14:paraId="15A5B413" w14:textId="77777777" w:rsidR="007B7F74" w:rsidRPr="009B3F62" w:rsidRDefault="009B3F62">
      <w:pPr>
        <w:pStyle w:val="Heading1"/>
        <w:numPr>
          <w:ilvl w:val="0"/>
          <w:numId w:val="1"/>
        </w:numPr>
        <w:tabs>
          <w:tab w:val="left" w:pos="1593"/>
        </w:tabs>
        <w:spacing w:before="1"/>
        <w:ind w:left="1592" w:hanging="493"/>
        <w:jc w:val="both"/>
        <w:rPr>
          <w:color w:val="595959" w:themeColor="text1" w:themeTint="A6"/>
        </w:rPr>
      </w:pPr>
      <w:r w:rsidRPr="009B3F62">
        <w:rPr>
          <w:color w:val="595959" w:themeColor="text1" w:themeTint="A6"/>
        </w:rPr>
        <w:t>Image:</w:t>
      </w:r>
    </w:p>
    <w:p w14:paraId="10F9F51A" w14:textId="38363FD5" w:rsidR="007B7F74" w:rsidRPr="009B3F62" w:rsidRDefault="0097758D">
      <w:pPr>
        <w:pStyle w:val="BodyText"/>
        <w:ind w:left="1274"/>
        <w:rPr>
          <w:color w:val="595959" w:themeColor="text1" w:themeTint="A6"/>
          <w:sz w:val="20"/>
        </w:rPr>
      </w:pPr>
      <w:r w:rsidRPr="009B3F62">
        <w:rPr>
          <w:noProof/>
          <w:color w:val="595959" w:themeColor="text1" w:themeTint="A6"/>
        </w:rPr>
        <w:drawing>
          <wp:inline distT="0" distB="0" distL="0" distR="0" wp14:anchorId="4BD6F86A" wp14:editId="54425229">
            <wp:extent cx="2435740" cy="879231"/>
            <wp:effectExtent l="0" t="0" r="0" b="0"/>
            <wp:docPr id="8" name="Picture 8"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8.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89378" cy="898593"/>
                    </a:xfrm>
                    <a:prstGeom prst="rect">
                      <a:avLst/>
                    </a:prstGeom>
                  </pic:spPr>
                </pic:pic>
              </a:graphicData>
            </a:graphic>
          </wp:inline>
        </w:drawing>
      </w:r>
    </w:p>
    <w:p w14:paraId="16BEA068" w14:textId="6C335FE1" w:rsidR="0097758D" w:rsidRPr="009B3F62" w:rsidRDefault="0097758D">
      <w:pPr>
        <w:pStyle w:val="BodyText"/>
        <w:ind w:left="1274"/>
        <w:rPr>
          <w:b/>
          <w:bCs/>
          <w:color w:val="595959" w:themeColor="text1" w:themeTint="A6"/>
          <w:sz w:val="20"/>
        </w:rPr>
      </w:pPr>
      <w:r w:rsidRPr="009B3F62">
        <w:rPr>
          <w:b/>
          <w:bCs/>
          <w:color w:val="595959" w:themeColor="text1" w:themeTint="A6"/>
          <w:sz w:val="20"/>
        </w:rPr>
        <w:t>III</w:t>
      </w:r>
      <w:r w:rsidR="004B3200" w:rsidRPr="009B3F62">
        <w:rPr>
          <w:b/>
          <w:bCs/>
          <w:color w:val="595959" w:themeColor="text1" w:themeTint="A6"/>
          <w:sz w:val="20"/>
        </w:rPr>
        <w:t>.</w:t>
      </w:r>
      <w:r w:rsidRPr="009B3F62">
        <w:rPr>
          <w:b/>
          <w:bCs/>
          <w:color w:val="595959" w:themeColor="text1" w:themeTint="A6"/>
          <w:sz w:val="20"/>
        </w:rPr>
        <w:t xml:space="preserve"> Refere</w:t>
      </w:r>
      <w:r w:rsidR="004B3200" w:rsidRPr="009B3F62">
        <w:rPr>
          <w:b/>
          <w:bCs/>
          <w:color w:val="595959" w:themeColor="text1" w:themeTint="A6"/>
          <w:sz w:val="20"/>
        </w:rPr>
        <w:t>nces:</w:t>
      </w:r>
    </w:p>
    <w:p w14:paraId="4D2FC889" w14:textId="0F56C909" w:rsidR="004B3200" w:rsidRPr="009B3F62" w:rsidRDefault="004B3200" w:rsidP="009B3F62">
      <w:pPr>
        <w:pStyle w:val="NoSpacing"/>
        <w:ind w:left="720"/>
        <w:rPr>
          <w:color w:val="595959" w:themeColor="text1" w:themeTint="A6"/>
          <w:sz w:val="20"/>
        </w:rPr>
      </w:pPr>
      <w:bookmarkStart w:id="0" w:name="OLE_LINK1"/>
      <w:bookmarkStart w:id="1" w:name="OLE_LINK2"/>
      <w:r w:rsidRPr="009B3F62">
        <w:rPr>
          <w:rFonts w:ascii="Times New Roman" w:hAnsi="Times New Roman" w:cs="Times New Roman"/>
          <w:color w:val="595959" w:themeColor="text1" w:themeTint="A6"/>
          <w:sz w:val="20"/>
          <w:szCs w:val="20"/>
        </w:rPr>
        <w:t xml:space="preserve">Everts P, Flanagan II G, Rothenberg J, Mautner K. The Rationale of Autologously Prepared Bone Marrow Aspirate Concentrate for use in Regenerative Medicine Applications. In: Regenerative Medicine [Working Title] [Internet]. </w:t>
      </w:r>
      <w:proofErr w:type="spellStart"/>
      <w:r w:rsidRPr="009B3F62">
        <w:rPr>
          <w:rFonts w:ascii="Times New Roman" w:hAnsi="Times New Roman" w:cs="Times New Roman"/>
          <w:color w:val="595959" w:themeColor="text1" w:themeTint="A6"/>
          <w:sz w:val="20"/>
          <w:szCs w:val="20"/>
        </w:rPr>
        <w:t>IntechOpen</w:t>
      </w:r>
      <w:proofErr w:type="spellEnd"/>
      <w:r w:rsidRPr="009B3F62">
        <w:rPr>
          <w:rFonts w:ascii="Times New Roman" w:hAnsi="Times New Roman" w:cs="Times New Roman"/>
          <w:color w:val="595959" w:themeColor="text1" w:themeTint="A6"/>
          <w:sz w:val="20"/>
          <w:szCs w:val="20"/>
        </w:rPr>
        <w:t xml:space="preserve">; 2020 </w:t>
      </w:r>
      <w:bookmarkEnd w:id="0"/>
      <w:bookmarkEnd w:id="1"/>
      <w:r w:rsidRPr="009B3F62">
        <w:rPr>
          <w:rFonts w:ascii="Times New Roman" w:hAnsi="Times New Roman" w:cs="Times New Roman"/>
          <w:color w:val="595959" w:themeColor="text1" w:themeTint="A6"/>
          <w:sz w:val="20"/>
          <w:szCs w:val="20"/>
        </w:rPr>
        <w:t>Available from: https://www.intechopen.com/online-first/the-rationale-of-autologously-prepared-bone-marrow-aspirate-concentrate-for-use-in-regenerative-medi</w:t>
      </w:r>
    </w:p>
    <w:p w14:paraId="316E29DD" w14:textId="766813E6" w:rsidR="004B3200" w:rsidRPr="009B3F62" w:rsidRDefault="004B3200" w:rsidP="004B3200">
      <w:pPr>
        <w:pStyle w:val="BodyText"/>
        <w:numPr>
          <w:ilvl w:val="0"/>
          <w:numId w:val="1"/>
        </w:numPr>
        <w:rPr>
          <w:b/>
          <w:bCs/>
          <w:color w:val="595959" w:themeColor="text1" w:themeTint="A6"/>
          <w:sz w:val="20"/>
        </w:rPr>
      </w:pPr>
      <w:r w:rsidRPr="009B3F62">
        <w:rPr>
          <w:b/>
          <w:bCs/>
          <w:color w:val="595959" w:themeColor="text1" w:themeTint="A6"/>
          <w:sz w:val="20"/>
        </w:rPr>
        <w:t>Biography</w:t>
      </w:r>
    </w:p>
    <w:p w14:paraId="3BB9F2E2" w14:textId="77777777" w:rsidR="009B3F62" w:rsidRPr="009B3F62" w:rsidRDefault="004B3200" w:rsidP="004B3200">
      <w:pPr>
        <w:pStyle w:val="BodyText"/>
        <w:ind w:left="720"/>
        <w:rPr>
          <w:color w:val="595959" w:themeColor="text1" w:themeTint="A6"/>
          <w:sz w:val="20"/>
        </w:rPr>
      </w:pPr>
      <w:r w:rsidRPr="009B3F62">
        <w:rPr>
          <w:color w:val="595959" w:themeColor="text1" w:themeTint="A6"/>
          <w:sz w:val="20"/>
        </w:rPr>
        <w:t>Dr. Everts completed his PhD from the University of Utrecht in the Netherlands, School of Medicine. He is the director of Gulf Coast Biologics, a state-of-the-art Educational and Training Center in Regenerative Medicine, Fort Myers, FL. His responsibilities include clinical trials, educational (cadaver training) program development He has published over 50 papers or book chapters in the field of autologous biologics, like PRP, bone marrow and adipose mesenchymal/progenitor cell</w:t>
      </w:r>
      <w:r w:rsidR="009B3F62" w:rsidRPr="009B3F62">
        <w:rPr>
          <w:color w:val="595959" w:themeColor="text1" w:themeTint="A6"/>
          <w:sz w:val="20"/>
        </w:rPr>
        <w:t>s.</w:t>
      </w:r>
    </w:p>
    <w:p w14:paraId="2541691F" w14:textId="77777777" w:rsidR="009B3F62" w:rsidRPr="009B3F62" w:rsidRDefault="009B3F62" w:rsidP="004B3200">
      <w:pPr>
        <w:pStyle w:val="BodyText"/>
        <w:ind w:left="720"/>
        <w:rPr>
          <w:color w:val="595959" w:themeColor="text1" w:themeTint="A6"/>
          <w:sz w:val="20"/>
        </w:rPr>
      </w:pPr>
    </w:p>
    <w:p w14:paraId="0DDE1B8A" w14:textId="2C91A816" w:rsidR="004B3200" w:rsidRPr="009B3F62" w:rsidRDefault="009B3F62" w:rsidP="009B3F62">
      <w:pPr>
        <w:pStyle w:val="BodyText"/>
        <w:numPr>
          <w:ilvl w:val="0"/>
          <w:numId w:val="1"/>
        </w:numPr>
        <w:rPr>
          <w:b/>
          <w:bCs/>
          <w:color w:val="595959" w:themeColor="text1" w:themeTint="A6"/>
          <w:sz w:val="20"/>
        </w:rPr>
      </w:pPr>
      <w:r w:rsidRPr="009B3F62">
        <w:rPr>
          <w:b/>
          <w:bCs/>
          <w:color w:val="595959" w:themeColor="text1" w:themeTint="A6"/>
          <w:sz w:val="20"/>
        </w:rPr>
        <w:t>Presenting author details</w:t>
      </w:r>
      <w:r w:rsidR="004B3200" w:rsidRPr="009B3F62">
        <w:rPr>
          <w:b/>
          <w:bCs/>
          <w:color w:val="595959" w:themeColor="text1" w:themeTint="A6"/>
        </w:rPr>
        <w:t xml:space="preserve"> author</w:t>
      </w:r>
      <w:r w:rsidR="004B3200" w:rsidRPr="009B3F62">
        <w:rPr>
          <w:b/>
          <w:bCs/>
          <w:color w:val="595959" w:themeColor="text1" w:themeTint="A6"/>
          <w:spacing w:val="-4"/>
        </w:rPr>
        <w:t xml:space="preserve"> </w:t>
      </w:r>
      <w:r w:rsidR="004B3200" w:rsidRPr="009B3F62">
        <w:rPr>
          <w:b/>
          <w:bCs/>
          <w:color w:val="595959" w:themeColor="text1" w:themeTint="A6"/>
        </w:rPr>
        <w:t>details</w:t>
      </w:r>
    </w:p>
    <w:p w14:paraId="51175384" w14:textId="77777777" w:rsidR="009B3F62" w:rsidRPr="009B3F62" w:rsidRDefault="009B3F62" w:rsidP="009B3F62">
      <w:pPr>
        <w:pStyle w:val="BodyText"/>
        <w:spacing w:before="137"/>
        <w:ind w:right="3903" w:firstLine="720"/>
        <w:rPr>
          <w:b/>
          <w:color w:val="595959" w:themeColor="text1" w:themeTint="A6"/>
        </w:rPr>
      </w:pPr>
      <w:r w:rsidRPr="009B3F62">
        <w:rPr>
          <w:noProof/>
          <w:color w:val="595959" w:themeColor="text1" w:themeTint="A6"/>
        </w:rPr>
        <w:drawing>
          <wp:inline distT="0" distB="0" distL="0" distR="0" wp14:anchorId="70D78A36" wp14:editId="17DE26A4">
            <wp:extent cx="925371" cy="820615"/>
            <wp:effectExtent l="0" t="0" r="0" b="0"/>
            <wp:docPr id="4" name="Picture 4" descr="A person wearing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0-07-06 at 2.25.54 PM.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951593" cy="843869"/>
                    </a:xfrm>
                    <a:prstGeom prst="rect">
                      <a:avLst/>
                    </a:prstGeom>
                  </pic:spPr>
                </pic:pic>
              </a:graphicData>
            </a:graphic>
          </wp:inline>
        </w:drawing>
      </w:r>
    </w:p>
    <w:sectPr w:rsidR="009B3F62" w:rsidRPr="009B3F62">
      <w:type w:val="continuous"/>
      <w:pgSz w:w="11920" w:h="16850"/>
      <w:pgMar w:top="1220" w:right="440" w:bottom="280" w:left="460" w:header="720" w:footer="720" w:gutter="0"/>
      <w:cols w:num="2" w:space="720" w:equalWidth="0">
        <w:col w:w="5360" w:space="207"/>
        <w:col w:w="5453"/>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875383"/>
    <w:multiLevelType w:val="hybridMultilevel"/>
    <w:tmpl w:val="0896CF00"/>
    <w:lvl w:ilvl="0" w:tplc="CD5017BA">
      <w:start w:val="1"/>
      <w:numFmt w:val="upperRoman"/>
      <w:lvlText w:val="%1."/>
      <w:lvlJc w:val="left"/>
      <w:pPr>
        <w:ind w:left="1546" w:hanging="447"/>
        <w:jc w:val="left"/>
      </w:pPr>
      <w:rPr>
        <w:rFonts w:ascii="Times New Roman" w:eastAsia="Times New Roman" w:hAnsi="Times New Roman" w:cs="Times New Roman" w:hint="default"/>
        <w:b/>
        <w:bCs/>
        <w:color w:val="575757"/>
        <w:w w:val="96"/>
        <w:sz w:val="19"/>
        <w:szCs w:val="19"/>
      </w:rPr>
    </w:lvl>
    <w:lvl w:ilvl="1" w:tplc="B1F80E46">
      <w:numFmt w:val="bullet"/>
      <w:lvlText w:val="•"/>
      <w:lvlJc w:val="left"/>
      <w:pPr>
        <w:ind w:left="1921" w:hanging="447"/>
      </w:pPr>
      <w:rPr>
        <w:rFonts w:hint="default"/>
      </w:rPr>
    </w:lvl>
    <w:lvl w:ilvl="2" w:tplc="E1529B9E">
      <w:numFmt w:val="bullet"/>
      <w:lvlText w:val="•"/>
      <w:lvlJc w:val="left"/>
      <w:pPr>
        <w:ind w:left="2303" w:hanging="447"/>
      </w:pPr>
      <w:rPr>
        <w:rFonts w:hint="default"/>
      </w:rPr>
    </w:lvl>
    <w:lvl w:ilvl="3" w:tplc="983CA5F0">
      <w:numFmt w:val="bullet"/>
      <w:lvlText w:val="•"/>
      <w:lvlJc w:val="left"/>
      <w:pPr>
        <w:ind w:left="2685" w:hanging="447"/>
      </w:pPr>
      <w:rPr>
        <w:rFonts w:hint="default"/>
      </w:rPr>
    </w:lvl>
    <w:lvl w:ilvl="4" w:tplc="8964638A">
      <w:numFmt w:val="bullet"/>
      <w:lvlText w:val="•"/>
      <w:lvlJc w:val="left"/>
      <w:pPr>
        <w:ind w:left="3067" w:hanging="447"/>
      </w:pPr>
      <w:rPr>
        <w:rFonts w:hint="default"/>
      </w:rPr>
    </w:lvl>
    <w:lvl w:ilvl="5" w:tplc="3BFA4164">
      <w:numFmt w:val="bullet"/>
      <w:lvlText w:val="•"/>
      <w:lvlJc w:val="left"/>
      <w:pPr>
        <w:ind w:left="3449" w:hanging="447"/>
      </w:pPr>
      <w:rPr>
        <w:rFonts w:hint="default"/>
      </w:rPr>
    </w:lvl>
    <w:lvl w:ilvl="6" w:tplc="E4228DBE">
      <w:numFmt w:val="bullet"/>
      <w:lvlText w:val="•"/>
      <w:lvlJc w:val="left"/>
      <w:pPr>
        <w:ind w:left="3831" w:hanging="447"/>
      </w:pPr>
      <w:rPr>
        <w:rFonts w:hint="default"/>
      </w:rPr>
    </w:lvl>
    <w:lvl w:ilvl="7" w:tplc="1338A206">
      <w:numFmt w:val="bullet"/>
      <w:lvlText w:val="•"/>
      <w:lvlJc w:val="left"/>
      <w:pPr>
        <w:ind w:left="4213" w:hanging="447"/>
      </w:pPr>
      <w:rPr>
        <w:rFonts w:hint="default"/>
      </w:rPr>
    </w:lvl>
    <w:lvl w:ilvl="8" w:tplc="593A6B16">
      <w:numFmt w:val="bullet"/>
      <w:lvlText w:val="•"/>
      <w:lvlJc w:val="left"/>
      <w:pPr>
        <w:ind w:left="4595" w:hanging="447"/>
      </w:pPr>
      <w:rPr>
        <w:rFonts w:hint="default"/>
      </w:rPr>
    </w:lvl>
  </w:abstractNum>
  <w:abstractNum w:abstractNumId="1" w15:restartNumberingAfterBreak="0">
    <w:nsid w:val="4024559C"/>
    <w:multiLevelType w:val="hybridMultilevel"/>
    <w:tmpl w:val="0896CF00"/>
    <w:lvl w:ilvl="0" w:tplc="CD5017BA">
      <w:start w:val="1"/>
      <w:numFmt w:val="upperRoman"/>
      <w:lvlText w:val="%1."/>
      <w:lvlJc w:val="left"/>
      <w:pPr>
        <w:ind w:left="1546" w:hanging="447"/>
        <w:jc w:val="left"/>
      </w:pPr>
      <w:rPr>
        <w:rFonts w:ascii="Times New Roman" w:eastAsia="Times New Roman" w:hAnsi="Times New Roman" w:cs="Times New Roman" w:hint="default"/>
        <w:b/>
        <w:bCs/>
        <w:color w:val="575757"/>
        <w:w w:val="96"/>
        <w:sz w:val="19"/>
        <w:szCs w:val="19"/>
      </w:rPr>
    </w:lvl>
    <w:lvl w:ilvl="1" w:tplc="B1F80E46">
      <w:numFmt w:val="bullet"/>
      <w:lvlText w:val="•"/>
      <w:lvlJc w:val="left"/>
      <w:pPr>
        <w:ind w:left="1921" w:hanging="447"/>
      </w:pPr>
      <w:rPr>
        <w:rFonts w:hint="default"/>
      </w:rPr>
    </w:lvl>
    <w:lvl w:ilvl="2" w:tplc="E1529B9E">
      <w:numFmt w:val="bullet"/>
      <w:lvlText w:val="•"/>
      <w:lvlJc w:val="left"/>
      <w:pPr>
        <w:ind w:left="2303" w:hanging="447"/>
      </w:pPr>
      <w:rPr>
        <w:rFonts w:hint="default"/>
      </w:rPr>
    </w:lvl>
    <w:lvl w:ilvl="3" w:tplc="983CA5F0">
      <w:numFmt w:val="bullet"/>
      <w:lvlText w:val="•"/>
      <w:lvlJc w:val="left"/>
      <w:pPr>
        <w:ind w:left="2685" w:hanging="447"/>
      </w:pPr>
      <w:rPr>
        <w:rFonts w:hint="default"/>
      </w:rPr>
    </w:lvl>
    <w:lvl w:ilvl="4" w:tplc="8964638A">
      <w:numFmt w:val="bullet"/>
      <w:lvlText w:val="•"/>
      <w:lvlJc w:val="left"/>
      <w:pPr>
        <w:ind w:left="3067" w:hanging="447"/>
      </w:pPr>
      <w:rPr>
        <w:rFonts w:hint="default"/>
      </w:rPr>
    </w:lvl>
    <w:lvl w:ilvl="5" w:tplc="3BFA4164">
      <w:numFmt w:val="bullet"/>
      <w:lvlText w:val="•"/>
      <w:lvlJc w:val="left"/>
      <w:pPr>
        <w:ind w:left="3449" w:hanging="447"/>
      </w:pPr>
      <w:rPr>
        <w:rFonts w:hint="default"/>
      </w:rPr>
    </w:lvl>
    <w:lvl w:ilvl="6" w:tplc="E4228DBE">
      <w:numFmt w:val="bullet"/>
      <w:lvlText w:val="•"/>
      <w:lvlJc w:val="left"/>
      <w:pPr>
        <w:ind w:left="3831" w:hanging="447"/>
      </w:pPr>
      <w:rPr>
        <w:rFonts w:hint="default"/>
      </w:rPr>
    </w:lvl>
    <w:lvl w:ilvl="7" w:tplc="1338A206">
      <w:numFmt w:val="bullet"/>
      <w:lvlText w:val="•"/>
      <w:lvlJc w:val="left"/>
      <w:pPr>
        <w:ind w:left="4213" w:hanging="447"/>
      </w:pPr>
      <w:rPr>
        <w:rFonts w:hint="default"/>
      </w:rPr>
    </w:lvl>
    <w:lvl w:ilvl="8" w:tplc="593A6B16">
      <w:numFmt w:val="bullet"/>
      <w:lvlText w:val="•"/>
      <w:lvlJc w:val="left"/>
      <w:pPr>
        <w:ind w:left="4595" w:hanging="447"/>
      </w:pPr>
      <w:rPr>
        <w:rFonts w:hint="default"/>
      </w:rPr>
    </w:lvl>
  </w:abstractNum>
  <w:abstractNum w:abstractNumId="2" w15:restartNumberingAfterBreak="0">
    <w:nsid w:val="46AB5E83"/>
    <w:multiLevelType w:val="hybridMultilevel"/>
    <w:tmpl w:val="30CC79A8"/>
    <w:lvl w:ilvl="0" w:tplc="B77CC708">
      <w:start w:val="2"/>
      <w:numFmt w:val="decimal"/>
      <w:lvlText w:val="%1."/>
      <w:lvlJc w:val="left"/>
      <w:pPr>
        <w:ind w:left="830" w:hanging="360"/>
        <w:jc w:val="left"/>
      </w:pPr>
      <w:rPr>
        <w:rFonts w:ascii="Times New Roman" w:eastAsia="Times New Roman" w:hAnsi="Times New Roman" w:cs="Times New Roman" w:hint="default"/>
        <w:color w:val="575757"/>
        <w:spacing w:val="0"/>
        <w:w w:val="96"/>
        <w:sz w:val="19"/>
        <w:szCs w:val="19"/>
      </w:rPr>
    </w:lvl>
    <w:lvl w:ilvl="1" w:tplc="FC2A9CCE">
      <w:numFmt w:val="bullet"/>
      <w:lvlText w:val="•"/>
      <w:lvlJc w:val="left"/>
      <w:pPr>
        <w:ind w:left="1300" w:hanging="360"/>
      </w:pPr>
      <w:rPr>
        <w:rFonts w:hint="default"/>
      </w:rPr>
    </w:lvl>
    <w:lvl w:ilvl="2" w:tplc="01A0B616">
      <w:numFmt w:val="bullet"/>
      <w:lvlText w:val="•"/>
      <w:lvlJc w:val="left"/>
      <w:pPr>
        <w:ind w:left="1760" w:hanging="360"/>
      </w:pPr>
      <w:rPr>
        <w:rFonts w:hint="default"/>
      </w:rPr>
    </w:lvl>
    <w:lvl w:ilvl="3" w:tplc="E92830FE">
      <w:numFmt w:val="bullet"/>
      <w:lvlText w:val="•"/>
      <w:lvlJc w:val="left"/>
      <w:pPr>
        <w:ind w:left="2221" w:hanging="360"/>
      </w:pPr>
      <w:rPr>
        <w:rFonts w:hint="default"/>
      </w:rPr>
    </w:lvl>
    <w:lvl w:ilvl="4" w:tplc="D7AEDA02">
      <w:numFmt w:val="bullet"/>
      <w:lvlText w:val="•"/>
      <w:lvlJc w:val="left"/>
      <w:pPr>
        <w:ind w:left="2681" w:hanging="360"/>
      </w:pPr>
      <w:rPr>
        <w:rFonts w:hint="default"/>
      </w:rPr>
    </w:lvl>
    <w:lvl w:ilvl="5" w:tplc="18582806">
      <w:numFmt w:val="bullet"/>
      <w:lvlText w:val="•"/>
      <w:lvlJc w:val="left"/>
      <w:pPr>
        <w:ind w:left="3141" w:hanging="360"/>
      </w:pPr>
      <w:rPr>
        <w:rFonts w:hint="default"/>
      </w:rPr>
    </w:lvl>
    <w:lvl w:ilvl="6" w:tplc="D6FABBCE">
      <w:numFmt w:val="bullet"/>
      <w:lvlText w:val="•"/>
      <w:lvlJc w:val="left"/>
      <w:pPr>
        <w:ind w:left="3602" w:hanging="360"/>
      </w:pPr>
      <w:rPr>
        <w:rFonts w:hint="default"/>
      </w:rPr>
    </w:lvl>
    <w:lvl w:ilvl="7" w:tplc="4BA456FA">
      <w:numFmt w:val="bullet"/>
      <w:lvlText w:val="•"/>
      <w:lvlJc w:val="left"/>
      <w:pPr>
        <w:ind w:left="4062" w:hanging="360"/>
      </w:pPr>
      <w:rPr>
        <w:rFonts w:hint="default"/>
      </w:rPr>
    </w:lvl>
    <w:lvl w:ilvl="8" w:tplc="0AE083DC">
      <w:numFmt w:val="bullet"/>
      <w:lvlText w:val="•"/>
      <w:lvlJc w:val="left"/>
      <w:pPr>
        <w:ind w:left="4522" w:hanging="360"/>
      </w:pPr>
      <w:rPr>
        <w:rFonts w:hint="default"/>
      </w:rPr>
    </w:lvl>
  </w:abstractNum>
  <w:abstractNum w:abstractNumId="3" w15:restartNumberingAfterBreak="0">
    <w:nsid w:val="7A07239B"/>
    <w:multiLevelType w:val="hybridMultilevel"/>
    <w:tmpl w:val="99FCD9BE"/>
    <w:lvl w:ilvl="0" w:tplc="2DFEE0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7"/>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F74"/>
    <w:rsid w:val="004B3200"/>
    <w:rsid w:val="007B7F74"/>
    <w:rsid w:val="0097758D"/>
    <w:rsid w:val="009B3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DA09D9"/>
  <w15:docId w15:val="{6AA9DA19-84E5-D14A-8E2A-7B6F784DF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550" w:hanging="447"/>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1550" w:hanging="447"/>
    </w:pPr>
  </w:style>
  <w:style w:type="paragraph" w:customStyle="1" w:styleId="TableParagraph">
    <w:name w:val="Table Paragraph"/>
    <w:basedOn w:val="Normal"/>
    <w:uiPriority w:val="1"/>
    <w:qFormat/>
  </w:style>
  <w:style w:type="paragraph" w:styleId="NoSpacing">
    <w:name w:val="No Spacing"/>
    <w:uiPriority w:val="1"/>
    <w:qFormat/>
    <w:rsid w:val="0097758D"/>
    <w:pPr>
      <w:widowControl/>
      <w:autoSpaceDE/>
      <w:autoSpaceDN/>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626</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Peter Everts</cp:lastModifiedBy>
  <cp:revision>2</cp:revision>
  <dcterms:created xsi:type="dcterms:W3CDTF">2020-07-06T18:29:00Z</dcterms:created>
  <dcterms:modified xsi:type="dcterms:W3CDTF">2020-07-06T18:29:00Z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2019-11-22T00:00:00Z</vt:filetime>
  </property>
  <property fmtid="{D5CDD505-2E9C-101B-9397-08002B2CF9AE}" pid="3" name="Creator">
    <vt:lpwstr>Microsoft® Word 2010</vt:lpwstr>
  </property>
  <property fmtid="{D5CDD505-2E9C-101B-9397-08002B2CF9AE}" pid="4" name="LastSaved">
    <vt:filetime>2020-07-06T00:00:00Z</vt:filetime>
  </property>
</Properties>
</file>