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658" w:rsidRDefault="00104658" w:rsidP="00104658">
      <w:pPr>
        <w:pStyle w:val="isselectedend"/>
        <w:rPr>
          <w:lang w:val="en-US"/>
        </w:rPr>
      </w:pPr>
      <w:r w:rsidRPr="00104658">
        <w:rPr>
          <w:rStyle w:val="Forte"/>
          <w:lang w:val="en-US"/>
        </w:rPr>
        <w:t>Formaldehyde-Free Preservation of Cadavers and Isolated Organs Using Saturated Salt Solution and Alcohol for Surgical</w:t>
      </w:r>
      <w:r>
        <w:rPr>
          <w:rStyle w:val="Forte"/>
          <w:lang w:val="en-US"/>
        </w:rPr>
        <w:t xml:space="preserve"> Skills</w:t>
      </w:r>
      <w:r w:rsidRPr="00104658">
        <w:rPr>
          <w:rStyle w:val="Forte"/>
          <w:lang w:val="en-US"/>
        </w:rPr>
        <w:t xml:space="preserve"> Training</w:t>
      </w:r>
      <w:r w:rsidRPr="00104658">
        <w:rPr>
          <w:lang w:val="en-US"/>
        </w:rPr>
        <w:t>.</w:t>
      </w:r>
    </w:p>
    <w:p w:rsidR="00D409C8" w:rsidRPr="00D409C8" w:rsidRDefault="00D409C8" w:rsidP="00D409C8">
      <w:pPr>
        <w:spacing w:before="100" w:beforeAutospacing="1" w:after="100" w:afterAutospacing="1" w:line="240" w:lineRule="auto"/>
        <w:rPr>
          <w:rFonts w:ascii="Times New Roman" w:eastAsia="Times New Roman" w:hAnsi="Times New Roman" w:cs="Times New Roman"/>
          <w:sz w:val="24"/>
          <w:szCs w:val="24"/>
          <w:lang w:val="en-US" w:eastAsia="pt-BR"/>
        </w:rPr>
      </w:pPr>
      <w:r w:rsidRPr="00D409C8">
        <w:rPr>
          <w:rFonts w:ascii="Times New Roman" w:eastAsia="Times New Roman" w:hAnsi="Times New Roman" w:cs="Times New Roman"/>
          <w:bCs/>
          <w:sz w:val="24"/>
          <w:szCs w:val="24"/>
          <w:lang w:val="en-US" w:eastAsia="pt-BR"/>
        </w:rPr>
        <w:t>Statement of the Problem:</w:t>
      </w:r>
      <w:r>
        <w:rPr>
          <w:rFonts w:ascii="Times New Roman" w:eastAsia="Times New Roman" w:hAnsi="Times New Roman" w:cs="Times New Roman"/>
          <w:sz w:val="24"/>
          <w:szCs w:val="24"/>
          <w:lang w:val="en-US" w:eastAsia="pt-BR"/>
        </w:rPr>
        <w:t xml:space="preserve"> </w:t>
      </w:r>
      <w:r w:rsidRPr="00D409C8">
        <w:rPr>
          <w:rFonts w:ascii="Times New Roman" w:eastAsia="Times New Roman" w:hAnsi="Times New Roman" w:cs="Times New Roman"/>
          <w:sz w:val="24"/>
          <w:szCs w:val="24"/>
          <w:lang w:val="en-US" w:eastAsia="pt-BR"/>
        </w:rPr>
        <w:t>Effective preservation of biolog</w:t>
      </w:r>
      <w:r>
        <w:rPr>
          <w:rFonts w:ascii="Times New Roman" w:eastAsia="Times New Roman" w:hAnsi="Times New Roman" w:cs="Times New Roman"/>
          <w:sz w:val="24"/>
          <w:szCs w:val="24"/>
          <w:lang w:val="en-US" w:eastAsia="pt-BR"/>
        </w:rPr>
        <w:t xml:space="preserve">ical specimens is essential for </w:t>
      </w:r>
      <w:r w:rsidRPr="00D409C8">
        <w:rPr>
          <w:rFonts w:ascii="Times New Roman" w:eastAsia="Times New Roman" w:hAnsi="Times New Roman" w:cs="Times New Roman"/>
          <w:sz w:val="24"/>
          <w:szCs w:val="24"/>
          <w:lang w:val="en-US" w:eastAsia="pt-BR"/>
        </w:rPr>
        <w:t>surgical training</w:t>
      </w:r>
      <w:r w:rsidR="000942F0">
        <w:rPr>
          <w:rFonts w:ascii="Times New Roman" w:eastAsia="Times New Roman" w:hAnsi="Times New Roman" w:cs="Times New Roman"/>
          <w:sz w:val="24"/>
          <w:szCs w:val="24"/>
          <w:lang w:val="en-US" w:eastAsia="pt-BR"/>
        </w:rPr>
        <w:t xml:space="preserve"> (1)</w:t>
      </w:r>
      <w:r w:rsidRPr="00D409C8">
        <w:rPr>
          <w:rFonts w:ascii="Times New Roman" w:eastAsia="Times New Roman" w:hAnsi="Times New Roman" w:cs="Times New Roman"/>
          <w:sz w:val="24"/>
          <w:szCs w:val="24"/>
          <w:lang w:val="en-US" w:eastAsia="pt-BR"/>
        </w:rPr>
        <w:t>. Conventional methods, particularly formalin-based fixation and cryopreservation, present limitations including toxicity, tissue stiffness, infrastructure dependency, and reduced logistical flexibility</w:t>
      </w:r>
      <w:r w:rsidR="000942F0">
        <w:rPr>
          <w:rFonts w:ascii="Times New Roman" w:eastAsia="Times New Roman" w:hAnsi="Times New Roman" w:cs="Times New Roman"/>
          <w:sz w:val="24"/>
          <w:szCs w:val="24"/>
          <w:lang w:val="en-US" w:eastAsia="pt-BR"/>
        </w:rPr>
        <w:t xml:space="preserve"> (2)</w:t>
      </w:r>
      <w:r w:rsidRPr="00D409C8">
        <w:rPr>
          <w:rFonts w:ascii="Times New Roman" w:eastAsia="Times New Roman" w:hAnsi="Times New Roman" w:cs="Times New Roman"/>
          <w:sz w:val="24"/>
          <w:szCs w:val="24"/>
          <w:lang w:val="en-US" w:eastAsia="pt-BR"/>
        </w:rPr>
        <w:t>. There is a need for safer, more practical, and reusable preservation strategies that maintain the anatomical and biomechanical properties of cadaveric and visceral tissues while improving accessibility for educational use</w:t>
      </w:r>
      <w:r w:rsidR="000942F0">
        <w:rPr>
          <w:rFonts w:ascii="Times New Roman" w:eastAsia="Times New Roman" w:hAnsi="Times New Roman" w:cs="Times New Roman"/>
          <w:sz w:val="24"/>
          <w:szCs w:val="24"/>
          <w:lang w:val="en-US" w:eastAsia="pt-BR"/>
        </w:rPr>
        <w:t xml:space="preserve"> (3)</w:t>
      </w:r>
      <w:r w:rsidRPr="00D409C8">
        <w:rPr>
          <w:rFonts w:ascii="Times New Roman" w:eastAsia="Times New Roman" w:hAnsi="Times New Roman" w:cs="Times New Roman"/>
          <w:sz w:val="24"/>
          <w:szCs w:val="24"/>
          <w:lang w:val="en-US" w:eastAsia="pt-BR"/>
        </w:rPr>
        <w:t>.</w:t>
      </w:r>
    </w:p>
    <w:p w:rsidR="00D409C8" w:rsidRPr="00D409C8" w:rsidRDefault="00D409C8" w:rsidP="0027499D">
      <w:pPr>
        <w:autoSpaceDE w:val="0"/>
        <w:autoSpaceDN w:val="0"/>
        <w:adjustRightInd w:val="0"/>
        <w:spacing w:after="0" w:line="240" w:lineRule="auto"/>
        <w:rPr>
          <w:rFonts w:ascii="Cambria" w:hAnsi="Cambria" w:cs="Cambria"/>
          <w:sz w:val="20"/>
          <w:szCs w:val="20"/>
          <w:lang w:val="en-US"/>
        </w:rPr>
      </w:pPr>
      <w:r w:rsidRPr="00D409C8">
        <w:rPr>
          <w:rFonts w:ascii="Times New Roman" w:eastAsia="Times New Roman" w:hAnsi="Times New Roman" w:cs="Times New Roman"/>
          <w:bCs/>
          <w:sz w:val="24"/>
          <w:szCs w:val="24"/>
          <w:lang w:val="en-US" w:eastAsia="pt-BR"/>
        </w:rPr>
        <w:t>Methodology and Theoretical Orientation:</w:t>
      </w:r>
      <w:r>
        <w:rPr>
          <w:rFonts w:ascii="Times New Roman" w:eastAsia="Times New Roman" w:hAnsi="Times New Roman" w:cs="Times New Roman"/>
          <w:sz w:val="24"/>
          <w:szCs w:val="24"/>
          <w:lang w:val="en-US" w:eastAsia="pt-BR"/>
        </w:rPr>
        <w:t xml:space="preserve"> </w:t>
      </w:r>
      <w:r w:rsidRPr="00D409C8">
        <w:rPr>
          <w:rFonts w:ascii="Times New Roman" w:eastAsia="Times New Roman" w:hAnsi="Times New Roman" w:cs="Times New Roman"/>
          <w:sz w:val="24"/>
          <w:szCs w:val="24"/>
          <w:lang w:val="en-US" w:eastAsia="pt-BR"/>
        </w:rPr>
        <w:t xml:space="preserve">Our laboratory implemented a preservation protocol based on a saturated salt </w:t>
      </w:r>
      <w:r w:rsidRPr="00D409C8">
        <w:rPr>
          <w:rFonts w:ascii="Times New Roman" w:eastAsia="Times New Roman" w:hAnsi="Times New Roman" w:cs="Times New Roman"/>
          <w:bCs/>
          <w:sz w:val="24"/>
          <w:szCs w:val="24"/>
          <w:lang w:val="en-US" w:eastAsia="pt-BR"/>
        </w:rPr>
        <w:t xml:space="preserve">solution </w:t>
      </w:r>
      <w:r w:rsidR="0027499D" w:rsidRPr="0027499D">
        <w:rPr>
          <w:rFonts w:ascii="Times New Roman" w:eastAsia="Times New Roman" w:hAnsi="Times New Roman" w:cs="Times New Roman"/>
          <w:bCs/>
          <w:sz w:val="24"/>
          <w:szCs w:val="24"/>
          <w:lang w:val="en-US" w:eastAsia="pt-BR"/>
        </w:rPr>
        <w:t>consisting of sodium chloride, sodium nitrite and sodium nitrate</w:t>
      </w:r>
      <w:r w:rsidR="0027499D" w:rsidRPr="0027499D">
        <w:rPr>
          <w:rFonts w:ascii="Times New Roman" w:eastAsia="Times New Roman" w:hAnsi="Times New Roman" w:cs="Times New Roman"/>
          <w:bCs/>
          <w:sz w:val="24"/>
          <w:szCs w:val="24"/>
          <w:lang w:val="en-US" w:eastAsia="pt-BR"/>
        </w:rPr>
        <w:t xml:space="preserve"> </w:t>
      </w:r>
      <w:r w:rsidR="0027499D" w:rsidRPr="0027499D">
        <w:rPr>
          <w:rFonts w:ascii="Times New Roman" w:eastAsia="Times New Roman" w:hAnsi="Times New Roman" w:cs="Times New Roman"/>
          <w:bCs/>
          <w:sz w:val="24"/>
          <w:szCs w:val="24"/>
          <w:lang w:val="en-US" w:eastAsia="pt-BR"/>
        </w:rPr>
        <w:t>and an alcoholic solution containing ethanol and glycerin</w:t>
      </w:r>
      <w:r w:rsidRPr="00D409C8">
        <w:rPr>
          <w:rFonts w:ascii="Times New Roman" w:eastAsia="Times New Roman" w:hAnsi="Times New Roman" w:cs="Times New Roman"/>
          <w:bCs/>
          <w:sz w:val="24"/>
          <w:szCs w:val="24"/>
          <w:lang w:val="en-US" w:eastAsia="pt-BR"/>
        </w:rPr>
        <w:t xml:space="preserve">, as a formaldehyde-free alternative for </w:t>
      </w:r>
      <w:r w:rsidR="0027499D" w:rsidRPr="0027499D">
        <w:rPr>
          <w:rFonts w:ascii="Times New Roman" w:eastAsia="Times New Roman" w:hAnsi="Times New Roman" w:cs="Times New Roman"/>
          <w:bCs/>
          <w:sz w:val="24"/>
          <w:szCs w:val="24"/>
          <w:lang w:val="en-US" w:eastAsia="pt-BR"/>
        </w:rPr>
        <w:t xml:space="preserve">cadaveric preservation </w:t>
      </w:r>
      <w:r w:rsidR="0027499D">
        <w:rPr>
          <w:rFonts w:ascii="Times New Roman" w:eastAsia="Times New Roman" w:hAnsi="Times New Roman" w:cs="Times New Roman"/>
          <w:bCs/>
          <w:sz w:val="24"/>
          <w:szCs w:val="24"/>
          <w:lang w:val="en-US" w:eastAsia="pt-BR"/>
        </w:rPr>
        <w:t>(4</w:t>
      </w:r>
      <w:r w:rsidR="000942F0" w:rsidRPr="0027499D">
        <w:rPr>
          <w:rFonts w:ascii="Times New Roman" w:eastAsia="Times New Roman" w:hAnsi="Times New Roman" w:cs="Times New Roman"/>
          <w:bCs/>
          <w:sz w:val="24"/>
          <w:szCs w:val="24"/>
          <w:lang w:val="en-US" w:eastAsia="pt-BR"/>
        </w:rPr>
        <w:t>)</w:t>
      </w:r>
      <w:r w:rsidRPr="00D409C8">
        <w:rPr>
          <w:rFonts w:ascii="Times New Roman" w:eastAsia="Times New Roman" w:hAnsi="Times New Roman" w:cs="Times New Roman"/>
          <w:bCs/>
          <w:sz w:val="24"/>
          <w:szCs w:val="24"/>
          <w:lang w:val="en-US" w:eastAsia="pt-BR"/>
        </w:rPr>
        <w:t>.</w:t>
      </w:r>
      <w:r w:rsidR="0027499D" w:rsidRPr="0027499D">
        <w:rPr>
          <w:rFonts w:ascii="Times New Roman" w:eastAsia="Times New Roman" w:hAnsi="Times New Roman" w:cs="Times New Roman"/>
          <w:bCs/>
          <w:sz w:val="24"/>
          <w:szCs w:val="24"/>
          <w:lang w:val="en-US" w:eastAsia="pt-BR"/>
        </w:rPr>
        <w:t xml:space="preserve"> At the same time, isolated organ</w:t>
      </w:r>
      <w:r w:rsidR="0027499D">
        <w:rPr>
          <w:rFonts w:ascii="Times New Roman" w:eastAsia="Times New Roman" w:hAnsi="Times New Roman" w:cs="Times New Roman"/>
          <w:bCs/>
          <w:sz w:val="24"/>
          <w:szCs w:val="24"/>
          <w:lang w:val="en-US" w:eastAsia="pt-BR"/>
        </w:rPr>
        <w:t xml:space="preserve">s (viscera) </w:t>
      </w:r>
      <w:proofErr w:type="gramStart"/>
      <w:r w:rsidR="0027499D">
        <w:rPr>
          <w:rFonts w:ascii="Times New Roman" w:eastAsia="Times New Roman" w:hAnsi="Times New Roman" w:cs="Times New Roman"/>
          <w:bCs/>
          <w:sz w:val="24"/>
          <w:szCs w:val="24"/>
          <w:lang w:val="en-US" w:eastAsia="pt-BR"/>
        </w:rPr>
        <w:t>are</w:t>
      </w:r>
      <w:r w:rsidR="0027499D" w:rsidRPr="0027499D">
        <w:rPr>
          <w:rFonts w:ascii="Times New Roman" w:eastAsia="Times New Roman" w:hAnsi="Times New Roman" w:cs="Times New Roman"/>
          <w:bCs/>
          <w:sz w:val="24"/>
          <w:szCs w:val="24"/>
          <w:lang w:val="en-US" w:eastAsia="pt-BR"/>
        </w:rPr>
        <w:t xml:space="preserve"> preserved</w:t>
      </w:r>
      <w:proofErr w:type="gramEnd"/>
      <w:r w:rsidR="0027499D" w:rsidRPr="0027499D">
        <w:rPr>
          <w:rFonts w:ascii="Times New Roman" w:eastAsia="Times New Roman" w:hAnsi="Times New Roman" w:cs="Times New Roman"/>
          <w:bCs/>
          <w:sz w:val="24"/>
          <w:szCs w:val="24"/>
          <w:lang w:val="en-US" w:eastAsia="pt-BR"/>
        </w:rPr>
        <w:t xml:space="preserve"> by fixation in absolute ethanol</w:t>
      </w:r>
      <w:r w:rsidR="0027499D" w:rsidRPr="0027499D">
        <w:rPr>
          <w:rFonts w:ascii="Times New Roman" w:eastAsia="Times New Roman" w:hAnsi="Times New Roman" w:cs="Times New Roman"/>
          <w:bCs/>
          <w:sz w:val="24"/>
          <w:szCs w:val="24"/>
          <w:lang w:val="en-US" w:eastAsia="pt-BR"/>
        </w:rPr>
        <w:t xml:space="preserve"> </w:t>
      </w:r>
      <w:r w:rsidR="0027499D" w:rsidRPr="0027499D">
        <w:rPr>
          <w:rFonts w:ascii="Times New Roman" w:eastAsia="Times New Roman" w:hAnsi="Times New Roman" w:cs="Times New Roman"/>
          <w:bCs/>
          <w:sz w:val="24"/>
          <w:szCs w:val="24"/>
          <w:lang w:val="en-US" w:eastAsia="pt-BR"/>
        </w:rPr>
        <w:t>and subsequently preservation</w:t>
      </w:r>
      <w:r w:rsidR="0027499D" w:rsidRPr="0027499D">
        <w:rPr>
          <w:rFonts w:ascii="Times New Roman" w:eastAsia="Times New Roman" w:hAnsi="Times New Roman" w:cs="Times New Roman"/>
          <w:bCs/>
          <w:sz w:val="24"/>
          <w:szCs w:val="24"/>
          <w:lang w:val="en-US" w:eastAsia="pt-BR"/>
        </w:rPr>
        <w:t xml:space="preserve"> in sodium chloride </w:t>
      </w:r>
      <w:proofErr w:type="spellStart"/>
      <w:r w:rsidR="0027499D" w:rsidRPr="0027499D">
        <w:rPr>
          <w:rFonts w:ascii="Times New Roman" w:eastAsia="Times New Roman" w:hAnsi="Times New Roman" w:cs="Times New Roman"/>
          <w:bCs/>
          <w:sz w:val="24"/>
          <w:szCs w:val="24"/>
          <w:lang w:val="en-US" w:eastAsia="pt-BR"/>
        </w:rPr>
        <w:t>hypersaturated</w:t>
      </w:r>
      <w:proofErr w:type="spellEnd"/>
      <w:r w:rsidR="0027499D" w:rsidRPr="0027499D">
        <w:rPr>
          <w:rFonts w:ascii="Times New Roman" w:eastAsia="Times New Roman" w:hAnsi="Times New Roman" w:cs="Times New Roman"/>
          <w:bCs/>
          <w:sz w:val="24"/>
          <w:szCs w:val="24"/>
          <w:lang w:val="en-US" w:eastAsia="pt-BR"/>
        </w:rPr>
        <w:t xml:space="preserve"> solution</w:t>
      </w:r>
      <w:r w:rsidR="0027499D" w:rsidRPr="0027499D">
        <w:rPr>
          <w:rFonts w:ascii="Times New Roman" w:eastAsia="Times New Roman" w:hAnsi="Times New Roman" w:cs="Times New Roman"/>
          <w:bCs/>
          <w:sz w:val="24"/>
          <w:szCs w:val="24"/>
          <w:lang w:val="en-US" w:eastAsia="pt-BR"/>
        </w:rPr>
        <w:t xml:space="preserve">. </w:t>
      </w:r>
      <w:r w:rsidRPr="00D409C8">
        <w:rPr>
          <w:rFonts w:ascii="Times New Roman" w:eastAsia="Times New Roman" w:hAnsi="Times New Roman" w:cs="Times New Roman"/>
          <w:bCs/>
          <w:sz w:val="24"/>
          <w:szCs w:val="24"/>
          <w:lang w:val="en-US" w:eastAsia="pt-BR"/>
        </w:rPr>
        <w:t>Cadavers are prepared through arterial infusion of the solution, while isolated viscera are preserved by immersion</w:t>
      </w:r>
      <w:r w:rsidR="0027499D">
        <w:rPr>
          <w:rFonts w:ascii="Times New Roman" w:eastAsia="Times New Roman" w:hAnsi="Times New Roman" w:cs="Times New Roman"/>
          <w:bCs/>
          <w:sz w:val="24"/>
          <w:szCs w:val="24"/>
          <w:lang w:val="en-US" w:eastAsia="pt-BR"/>
        </w:rPr>
        <w:t xml:space="preserve"> (5</w:t>
      </w:r>
      <w:proofErr w:type="gramStart"/>
      <w:r w:rsidR="0027499D">
        <w:rPr>
          <w:rFonts w:ascii="Times New Roman" w:eastAsia="Times New Roman" w:hAnsi="Times New Roman" w:cs="Times New Roman"/>
          <w:bCs/>
          <w:sz w:val="24"/>
          <w:szCs w:val="24"/>
          <w:lang w:val="en-US" w:eastAsia="pt-BR"/>
        </w:rPr>
        <w:t>,6</w:t>
      </w:r>
      <w:proofErr w:type="gramEnd"/>
      <w:r w:rsidR="000942F0" w:rsidRPr="0027499D">
        <w:rPr>
          <w:rFonts w:ascii="Times New Roman" w:eastAsia="Times New Roman" w:hAnsi="Times New Roman" w:cs="Times New Roman"/>
          <w:bCs/>
          <w:sz w:val="24"/>
          <w:szCs w:val="24"/>
          <w:lang w:val="en-US" w:eastAsia="pt-BR"/>
        </w:rPr>
        <w:t>)</w:t>
      </w:r>
      <w:r w:rsidRPr="00D409C8">
        <w:rPr>
          <w:rFonts w:ascii="Times New Roman" w:eastAsia="Times New Roman" w:hAnsi="Times New Roman" w:cs="Times New Roman"/>
          <w:bCs/>
          <w:sz w:val="24"/>
          <w:szCs w:val="24"/>
          <w:lang w:val="en-US" w:eastAsia="pt-BR"/>
        </w:rPr>
        <w:t>. After preparation, cadavers are stored in refrigerated chambers without freezing or continuous</w:t>
      </w:r>
      <w:r w:rsidRPr="00D409C8">
        <w:rPr>
          <w:rFonts w:ascii="Times New Roman" w:eastAsia="Times New Roman" w:hAnsi="Times New Roman" w:cs="Times New Roman"/>
          <w:sz w:val="24"/>
          <w:szCs w:val="24"/>
          <w:lang w:val="en-US" w:eastAsia="pt-BR"/>
        </w:rPr>
        <w:t xml:space="preserve"> immersion, and isolated organs are vacuum-sealed and stored under refrigeration or at room temperature for extended periods</w:t>
      </w:r>
      <w:r w:rsidR="0027499D">
        <w:rPr>
          <w:rFonts w:ascii="Times New Roman" w:eastAsia="Times New Roman" w:hAnsi="Times New Roman" w:cs="Times New Roman"/>
          <w:sz w:val="24"/>
          <w:szCs w:val="24"/>
          <w:lang w:val="en-US" w:eastAsia="pt-BR"/>
        </w:rPr>
        <w:t xml:space="preserve"> (6)</w:t>
      </w:r>
      <w:r w:rsidRPr="00D409C8">
        <w:rPr>
          <w:rFonts w:ascii="Times New Roman" w:eastAsia="Times New Roman" w:hAnsi="Times New Roman" w:cs="Times New Roman"/>
          <w:sz w:val="24"/>
          <w:szCs w:val="24"/>
          <w:lang w:val="en-US" w:eastAsia="pt-BR"/>
        </w:rPr>
        <w:t>.</w:t>
      </w:r>
    </w:p>
    <w:p w:rsidR="00D409C8" w:rsidRPr="00D409C8" w:rsidRDefault="00D409C8" w:rsidP="00D409C8">
      <w:pPr>
        <w:spacing w:before="100" w:beforeAutospacing="1" w:after="100" w:afterAutospacing="1" w:line="240" w:lineRule="auto"/>
        <w:rPr>
          <w:rFonts w:ascii="Times New Roman" w:eastAsia="Times New Roman" w:hAnsi="Times New Roman" w:cs="Times New Roman"/>
          <w:sz w:val="24"/>
          <w:szCs w:val="24"/>
          <w:lang w:val="en-US" w:eastAsia="pt-BR"/>
        </w:rPr>
      </w:pPr>
      <w:r w:rsidRPr="00D409C8">
        <w:rPr>
          <w:rFonts w:ascii="Times New Roman" w:eastAsia="Times New Roman" w:hAnsi="Times New Roman" w:cs="Times New Roman"/>
          <w:bCs/>
          <w:sz w:val="24"/>
          <w:szCs w:val="24"/>
          <w:lang w:val="en-US" w:eastAsia="pt-BR"/>
        </w:rPr>
        <w:t>Findings:</w:t>
      </w:r>
      <w:r>
        <w:rPr>
          <w:rFonts w:ascii="Times New Roman" w:eastAsia="Times New Roman" w:hAnsi="Times New Roman" w:cs="Times New Roman"/>
          <w:sz w:val="24"/>
          <w:szCs w:val="24"/>
          <w:lang w:val="en-US" w:eastAsia="pt-BR"/>
        </w:rPr>
        <w:t xml:space="preserve"> </w:t>
      </w:r>
      <w:r w:rsidRPr="00D409C8">
        <w:rPr>
          <w:rFonts w:ascii="Times New Roman" w:eastAsia="Times New Roman" w:hAnsi="Times New Roman" w:cs="Times New Roman"/>
          <w:sz w:val="24"/>
          <w:szCs w:val="24"/>
          <w:lang w:val="en-US" w:eastAsia="pt-BR"/>
        </w:rPr>
        <w:t>This preservation strategy enables long-term maintenance of tissue integrity, including flexibility, elasticity, and realistic handling properties required for surgical training</w:t>
      </w:r>
      <w:r w:rsidR="0027499D">
        <w:rPr>
          <w:rFonts w:ascii="Times New Roman" w:eastAsia="Times New Roman" w:hAnsi="Times New Roman" w:cs="Times New Roman"/>
          <w:sz w:val="24"/>
          <w:szCs w:val="24"/>
          <w:lang w:val="en-US" w:eastAsia="pt-BR"/>
        </w:rPr>
        <w:t xml:space="preserve"> (4-6)</w:t>
      </w:r>
      <w:r w:rsidRPr="00D409C8">
        <w:rPr>
          <w:rFonts w:ascii="Times New Roman" w:eastAsia="Times New Roman" w:hAnsi="Times New Roman" w:cs="Times New Roman"/>
          <w:sz w:val="24"/>
          <w:szCs w:val="24"/>
          <w:lang w:val="en-US" w:eastAsia="pt-BR"/>
        </w:rPr>
        <w:t>. Vacuum-packaged viscera can be prepared in advance and stored without the need for immersion tanks or continuous refrigeration</w:t>
      </w:r>
      <w:r w:rsidR="0027499D">
        <w:rPr>
          <w:rFonts w:ascii="Times New Roman" w:eastAsia="Times New Roman" w:hAnsi="Times New Roman" w:cs="Times New Roman"/>
          <w:sz w:val="24"/>
          <w:szCs w:val="24"/>
          <w:lang w:val="en-US" w:eastAsia="pt-BR"/>
        </w:rPr>
        <w:t xml:space="preserve"> (6)</w:t>
      </w:r>
      <w:r w:rsidRPr="00D409C8">
        <w:rPr>
          <w:rFonts w:ascii="Times New Roman" w:eastAsia="Times New Roman" w:hAnsi="Times New Roman" w:cs="Times New Roman"/>
          <w:sz w:val="24"/>
          <w:szCs w:val="24"/>
          <w:lang w:val="en-US" w:eastAsia="pt-BR"/>
        </w:rPr>
        <w:t>. Similarly, preserved cadavers remain readily accessible for repeated training sessions without thawing procedures, allowing multiple uses of the same specimen for different surgical and anatomical exercises before final disposal. Importantly, the method eliminates the use of toxic fixatives such as formaldehyde while maintaining high-quality tissue characteristics</w:t>
      </w:r>
      <w:r w:rsidR="0027499D">
        <w:rPr>
          <w:rFonts w:ascii="Times New Roman" w:eastAsia="Times New Roman" w:hAnsi="Times New Roman" w:cs="Times New Roman"/>
          <w:sz w:val="24"/>
          <w:szCs w:val="24"/>
          <w:lang w:val="en-US" w:eastAsia="pt-BR"/>
        </w:rPr>
        <w:t xml:space="preserve"> (4-6)</w:t>
      </w:r>
      <w:r w:rsidRPr="00D409C8">
        <w:rPr>
          <w:rFonts w:ascii="Times New Roman" w:eastAsia="Times New Roman" w:hAnsi="Times New Roman" w:cs="Times New Roman"/>
          <w:sz w:val="24"/>
          <w:szCs w:val="24"/>
          <w:lang w:val="en-US" w:eastAsia="pt-BR"/>
        </w:rPr>
        <w:t>.</w:t>
      </w:r>
    </w:p>
    <w:p w:rsidR="00D409C8" w:rsidRPr="00D409C8" w:rsidRDefault="00D409C8" w:rsidP="00D409C8">
      <w:pPr>
        <w:spacing w:before="100" w:beforeAutospacing="1" w:after="100" w:afterAutospacing="1" w:line="240" w:lineRule="auto"/>
        <w:rPr>
          <w:rFonts w:ascii="Times New Roman" w:eastAsia="Times New Roman" w:hAnsi="Times New Roman" w:cs="Times New Roman"/>
          <w:sz w:val="24"/>
          <w:szCs w:val="24"/>
          <w:lang w:val="en-US" w:eastAsia="pt-BR"/>
        </w:rPr>
      </w:pPr>
      <w:r w:rsidRPr="00D409C8">
        <w:rPr>
          <w:rFonts w:ascii="Times New Roman" w:eastAsia="Times New Roman" w:hAnsi="Times New Roman" w:cs="Times New Roman"/>
          <w:bCs/>
          <w:sz w:val="24"/>
          <w:szCs w:val="24"/>
          <w:lang w:val="en-US" w:eastAsia="pt-BR"/>
        </w:rPr>
        <w:t>Conclusion &amp; Significance:</w:t>
      </w:r>
      <w:r>
        <w:rPr>
          <w:rFonts w:ascii="Times New Roman" w:eastAsia="Times New Roman" w:hAnsi="Times New Roman" w:cs="Times New Roman"/>
          <w:sz w:val="24"/>
          <w:szCs w:val="24"/>
          <w:lang w:val="en-US" w:eastAsia="pt-BR"/>
        </w:rPr>
        <w:t xml:space="preserve"> </w:t>
      </w:r>
      <w:r w:rsidRPr="00D409C8">
        <w:rPr>
          <w:rFonts w:ascii="Times New Roman" w:eastAsia="Times New Roman" w:hAnsi="Times New Roman" w:cs="Times New Roman"/>
          <w:sz w:val="24"/>
          <w:szCs w:val="24"/>
          <w:lang w:val="en-US" w:eastAsia="pt-BR"/>
        </w:rPr>
        <w:t>The proposed preservation approach provides a safe, cost-effective, and logistically efficient alternative for surgical education. By improving specimen accessibility, reducing infrastructure demands, and maintaining biomechanical fidelity, this method enhances the feasibility and quality of cadaver-based teaching programs and supports the advancement of practical surgical training in veterinary education.</w:t>
      </w:r>
    </w:p>
    <w:p w:rsidR="00D409C8" w:rsidRPr="00D409C8" w:rsidRDefault="00D409C8" w:rsidP="00B10F7A">
      <w:pPr>
        <w:spacing w:after="0"/>
        <w:jc w:val="both"/>
        <w:rPr>
          <w:rFonts w:ascii="Times New Roman" w:hAnsi="Times New Roman" w:cs="Times New Roman"/>
          <w:b/>
          <w:sz w:val="24"/>
          <w:szCs w:val="24"/>
          <w:lang w:val="en-US"/>
        </w:rPr>
      </w:pPr>
      <w:r w:rsidRPr="00D409C8">
        <w:rPr>
          <w:rFonts w:ascii="Times New Roman" w:hAnsi="Times New Roman" w:cs="Times New Roman"/>
          <w:b/>
          <w:sz w:val="24"/>
          <w:szCs w:val="24"/>
          <w:lang w:val="en-US"/>
        </w:rPr>
        <w:t xml:space="preserve">Bibliography </w:t>
      </w:r>
    </w:p>
    <w:p w:rsidR="00D409C8" w:rsidRPr="00937FCE" w:rsidRDefault="00D409C8" w:rsidP="00937FCE">
      <w:pPr>
        <w:pStyle w:val="isselectedend"/>
        <w:spacing w:before="0" w:beforeAutospacing="0" w:after="0" w:afterAutospacing="0"/>
        <w:jc w:val="both"/>
        <w:rPr>
          <w:lang w:val="en-US"/>
        </w:rPr>
      </w:pPr>
      <w:r w:rsidRPr="00D409C8">
        <w:rPr>
          <w:lang w:val="en-US"/>
        </w:rPr>
        <w:t xml:space="preserve">Julia Belotto Guaraná is a veterinary surgeon and PhD researcher at the University </w:t>
      </w:r>
      <w:proofErr w:type="gramStart"/>
      <w:r w:rsidRPr="00D409C8">
        <w:rPr>
          <w:lang w:val="en-US"/>
        </w:rPr>
        <w:t>of</w:t>
      </w:r>
      <w:proofErr w:type="gramEnd"/>
      <w:r w:rsidRPr="00D409C8">
        <w:rPr>
          <w:lang w:val="en-US"/>
        </w:rPr>
        <w:t xml:space="preserve"> São Paulo (USP), Brazil, who works in the field of experimental organ transplantation using swine. She has published several articles in experimental</w:t>
      </w:r>
      <w:r>
        <w:rPr>
          <w:lang w:val="en-US"/>
        </w:rPr>
        <w:t xml:space="preserve"> surgery, including studies on </w:t>
      </w:r>
      <w:proofErr w:type="spellStart"/>
      <w:r>
        <w:rPr>
          <w:lang w:val="en-US"/>
        </w:rPr>
        <w:t>anorectal</w:t>
      </w:r>
      <w:proofErr w:type="spellEnd"/>
      <w:r>
        <w:rPr>
          <w:lang w:val="en-US"/>
        </w:rPr>
        <w:t xml:space="preserve"> </w:t>
      </w:r>
      <w:r w:rsidRPr="00D409C8">
        <w:rPr>
          <w:lang w:val="en-US"/>
        </w:rPr>
        <w:t xml:space="preserve">transplantation in swine models and functional outcomes of translational reconstructive procedures. She has also contributed to the development of alternative veterinary surgical education strategies, including low-cost anatomical models and cadaver-based training tools designed to improve surgical skill acquisition while reducing reliance on live animal use. Her work includes publications in veterinary education focused on innovative teaching methodologies and the implementation of practical training tools for anatomy and surgery. In addition, she has developed formaldehyde-free preservation techniques for biological specimens using saturated salt solutions combined with alcohol, applied to cadavers and </w:t>
      </w:r>
      <w:r w:rsidRPr="00D409C8">
        <w:rPr>
          <w:lang w:val="en-US"/>
        </w:rPr>
        <w:lastRenderedPageBreak/>
        <w:t xml:space="preserve">isolated organs for surgical training purposes, improving tissue preservation, handling characteristics, and logistical accessibility for educational use. </w:t>
      </w:r>
    </w:p>
    <w:p w:rsidR="00D409C8" w:rsidRDefault="00D409C8" w:rsidP="00D409C8">
      <w:pPr>
        <w:spacing w:after="0"/>
        <w:jc w:val="both"/>
        <w:rPr>
          <w:rFonts w:ascii="Times New Roman" w:hAnsi="Times New Roman" w:cs="Times New Roman"/>
          <w:b/>
          <w:sz w:val="24"/>
          <w:szCs w:val="24"/>
          <w:lang w:val="en-US"/>
        </w:rPr>
      </w:pPr>
    </w:p>
    <w:p w:rsidR="00D409C8" w:rsidRPr="00D409C8" w:rsidRDefault="00D409C8" w:rsidP="00D409C8">
      <w:pPr>
        <w:spacing w:after="0"/>
        <w:jc w:val="both"/>
        <w:rPr>
          <w:rFonts w:ascii="Times New Roman" w:hAnsi="Times New Roman" w:cs="Times New Roman"/>
          <w:b/>
          <w:sz w:val="24"/>
          <w:szCs w:val="24"/>
          <w:lang w:val="en-US"/>
        </w:rPr>
      </w:pPr>
      <w:r w:rsidRPr="00D409C8">
        <w:rPr>
          <w:rFonts w:ascii="Times New Roman" w:hAnsi="Times New Roman" w:cs="Times New Roman"/>
          <w:b/>
          <w:sz w:val="24"/>
          <w:szCs w:val="24"/>
          <w:lang w:val="en-US"/>
        </w:rPr>
        <w:t>About Research Topic</w:t>
      </w:r>
    </w:p>
    <w:p w:rsidR="00D409C8" w:rsidRPr="00D409C8" w:rsidRDefault="00D409C8" w:rsidP="00D409C8">
      <w:pPr>
        <w:pStyle w:val="isselectedend"/>
        <w:spacing w:before="0" w:beforeAutospacing="0" w:after="0" w:afterAutospacing="0"/>
        <w:jc w:val="both"/>
        <w:rPr>
          <w:lang w:val="en-US"/>
        </w:rPr>
      </w:pPr>
      <w:r w:rsidRPr="00D409C8">
        <w:rPr>
          <w:lang w:val="en-US"/>
        </w:rPr>
        <w:t>The preservation of biological specimens is essential for veterinary anatomy education and surgical training, but conventional methods such as formalin fixation and freezing present limitations related to toxicity, infrastructure demands, and reduced tissue flexibility. These constraints can compromise the quality and accessibility of practical training.</w:t>
      </w:r>
    </w:p>
    <w:p w:rsidR="00D409C8" w:rsidRPr="00D409C8" w:rsidRDefault="00D409C8" w:rsidP="00D409C8">
      <w:pPr>
        <w:pStyle w:val="isselectedend"/>
        <w:spacing w:before="0" w:beforeAutospacing="0" w:after="0" w:afterAutospacing="0"/>
        <w:jc w:val="both"/>
        <w:rPr>
          <w:lang w:val="en-US"/>
        </w:rPr>
      </w:pPr>
      <w:r w:rsidRPr="00D409C8">
        <w:rPr>
          <w:lang w:val="en-US"/>
        </w:rPr>
        <w:t>This research focuses on the development and application of formaldehyde-free preservation methods using saturated salt solutions combined with alcohol (glycerinated and non-glycerinated). The protocol allows preservation of cadavers via arterial infusion and isolated organs via immersion, with flexible storage conditions including refrigeration, vacuum sealing, or room temperature, depending on the specimen type.</w:t>
      </w:r>
    </w:p>
    <w:p w:rsidR="00D409C8" w:rsidRDefault="00D409C8" w:rsidP="00D409C8">
      <w:pPr>
        <w:pStyle w:val="isselectedend"/>
        <w:spacing w:before="0" w:beforeAutospacing="0" w:after="0" w:afterAutospacing="0"/>
        <w:jc w:val="both"/>
        <w:rPr>
          <w:lang w:val="en-US"/>
        </w:rPr>
      </w:pPr>
      <w:r w:rsidRPr="00D409C8">
        <w:rPr>
          <w:lang w:val="en-US"/>
        </w:rPr>
        <w:t xml:space="preserve">This approach improves </w:t>
      </w:r>
      <w:proofErr w:type="gramStart"/>
      <w:r w:rsidRPr="00D409C8">
        <w:rPr>
          <w:lang w:val="en-US"/>
        </w:rPr>
        <w:t>tissue handling</w:t>
      </w:r>
      <w:proofErr w:type="gramEnd"/>
      <w:r w:rsidRPr="00D409C8">
        <w:rPr>
          <w:lang w:val="en-US"/>
        </w:rPr>
        <w:t xml:space="preserve"> characteristics, maintains anatomical fidelity, and reduces logistical requirements, enabling more accessible, reusable, and practical models for veterinary surgical education.</w:t>
      </w:r>
    </w:p>
    <w:p w:rsidR="004E267B" w:rsidRPr="004E267B" w:rsidRDefault="004E267B" w:rsidP="004E267B">
      <w:pPr>
        <w:pStyle w:val="isselectedend"/>
        <w:spacing w:before="0" w:beforeAutospacing="0" w:after="0" w:afterAutospacing="0"/>
        <w:jc w:val="both"/>
        <w:rPr>
          <w:lang w:val="en-US"/>
        </w:rPr>
      </w:pPr>
      <w:bookmarkStart w:id="0" w:name="_GoBack"/>
      <w:bookmarkEnd w:id="0"/>
      <w:r w:rsidRPr="004E267B">
        <w:rPr>
          <w:lang w:val="en-US"/>
        </w:rPr>
        <w:t xml:space="preserve">The Faculty of Animal Science and Food Engineering (FZEA), University of São Paulo (USP), located in </w:t>
      </w:r>
      <w:proofErr w:type="spellStart"/>
      <w:r w:rsidRPr="004E267B">
        <w:rPr>
          <w:lang w:val="en-US"/>
        </w:rPr>
        <w:t>Pirassununga</w:t>
      </w:r>
      <w:proofErr w:type="spellEnd"/>
      <w:r w:rsidRPr="004E267B">
        <w:rPr>
          <w:lang w:val="en-US"/>
        </w:rPr>
        <w:t>, Brazil, is a multidisciplinary academic unit focused on teaching, research, and extension in animal science, veterinary medicine, and food engineering. The faculty integrates basic and applied research with a strong emphasis on innovation, biotechnology, and translational approaches to animal and food systems.</w:t>
      </w:r>
      <w:r>
        <w:rPr>
          <w:lang w:val="en-US"/>
        </w:rPr>
        <w:t xml:space="preserve"> </w:t>
      </w:r>
      <w:r w:rsidRPr="004E267B">
        <w:rPr>
          <w:lang w:val="en-US"/>
        </w:rPr>
        <w:t xml:space="preserve">Its research activities address animal production, health, food quality and safety, and experimental models, promoting collaboration across veterinary and engineering sciences. FZEA/USP </w:t>
      </w:r>
      <w:proofErr w:type="gramStart"/>
      <w:r w:rsidRPr="004E267B">
        <w:rPr>
          <w:lang w:val="en-US"/>
        </w:rPr>
        <w:t>is recognized</w:t>
      </w:r>
      <w:proofErr w:type="gramEnd"/>
      <w:r w:rsidRPr="004E267B">
        <w:rPr>
          <w:lang w:val="en-US"/>
        </w:rPr>
        <w:t xml:space="preserve"> as a key center for scientific development in Brazil, contributing to advancements in animal science, </w:t>
      </w:r>
      <w:r w:rsidR="00937FCE">
        <w:rPr>
          <w:lang w:val="en-US"/>
        </w:rPr>
        <w:t xml:space="preserve">veterinary medicine, </w:t>
      </w:r>
      <w:r w:rsidRPr="004E267B">
        <w:rPr>
          <w:lang w:val="en-US"/>
        </w:rPr>
        <w:t>food technology, and applied biomedical research.</w:t>
      </w:r>
    </w:p>
    <w:p w:rsidR="004E267B" w:rsidRPr="00D409C8" w:rsidRDefault="004E267B" w:rsidP="00D409C8">
      <w:pPr>
        <w:pStyle w:val="isselectedend"/>
        <w:spacing w:before="0" w:beforeAutospacing="0" w:after="0" w:afterAutospacing="0"/>
        <w:jc w:val="both"/>
        <w:rPr>
          <w:lang w:val="en-US"/>
        </w:rPr>
      </w:pPr>
    </w:p>
    <w:p w:rsidR="00D409C8" w:rsidRDefault="00D409C8" w:rsidP="00D409C8">
      <w:pPr>
        <w:pStyle w:val="isselectedend"/>
        <w:spacing w:before="0" w:beforeAutospacing="0" w:after="0" w:afterAutospacing="0"/>
        <w:jc w:val="both"/>
        <w:rPr>
          <w:lang w:val="en-US"/>
        </w:rPr>
      </w:pPr>
    </w:p>
    <w:p w:rsidR="000942F0" w:rsidRPr="0027499D" w:rsidRDefault="00395E22" w:rsidP="0027499D">
      <w:pPr>
        <w:pStyle w:val="isselectedend"/>
        <w:spacing w:before="0" w:beforeAutospacing="0" w:after="0" w:afterAutospacing="0"/>
        <w:jc w:val="both"/>
        <w:rPr>
          <w:b/>
          <w:lang w:val="en-US"/>
        </w:rPr>
      </w:pPr>
      <w:r w:rsidRPr="00395E22">
        <w:rPr>
          <w:b/>
          <w:lang w:val="en-US"/>
        </w:rPr>
        <w:t>References</w:t>
      </w:r>
    </w:p>
    <w:p w:rsidR="000942F0" w:rsidRPr="0027499D" w:rsidRDefault="000942F0" w:rsidP="0027499D">
      <w:pPr>
        <w:pStyle w:val="PargrafodaLista"/>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pt-BR"/>
        </w:rPr>
      </w:pPr>
      <w:r w:rsidRPr="0027499D">
        <w:rPr>
          <w:rFonts w:ascii="Times New Roman" w:eastAsia="Times New Roman" w:hAnsi="Times New Roman" w:cs="Times New Roman"/>
          <w:sz w:val="24"/>
          <w:szCs w:val="24"/>
          <w:lang w:val="en-US" w:eastAsia="pt-BR"/>
        </w:rPr>
        <w:t xml:space="preserve">Silva, R. M. G. D., Matera, J. M. and </w:t>
      </w:r>
      <w:proofErr w:type="spellStart"/>
      <w:r w:rsidRPr="0027499D">
        <w:rPr>
          <w:rFonts w:ascii="Times New Roman" w:eastAsia="Times New Roman" w:hAnsi="Times New Roman" w:cs="Times New Roman"/>
          <w:sz w:val="24"/>
          <w:szCs w:val="24"/>
          <w:lang w:val="en-US" w:eastAsia="pt-BR"/>
        </w:rPr>
        <w:t>Ribeiro</w:t>
      </w:r>
      <w:proofErr w:type="spellEnd"/>
      <w:r w:rsidRPr="0027499D">
        <w:rPr>
          <w:rFonts w:ascii="Times New Roman" w:eastAsia="Times New Roman" w:hAnsi="Times New Roman" w:cs="Times New Roman"/>
          <w:sz w:val="24"/>
          <w:szCs w:val="24"/>
          <w:lang w:val="en-US" w:eastAsia="pt-BR"/>
        </w:rPr>
        <w:t xml:space="preserve">, A. A. C. M., “Preservation of cadavers for surgical technique training”, </w:t>
      </w:r>
      <w:r w:rsidRPr="0027499D">
        <w:rPr>
          <w:rFonts w:ascii="Times New Roman" w:eastAsia="Times New Roman" w:hAnsi="Times New Roman" w:cs="Times New Roman"/>
          <w:i/>
          <w:iCs/>
          <w:sz w:val="24"/>
          <w:szCs w:val="24"/>
          <w:lang w:val="en-US" w:eastAsia="pt-BR"/>
        </w:rPr>
        <w:t>Veterinary Surgery</w:t>
      </w:r>
      <w:r w:rsidRPr="0027499D">
        <w:rPr>
          <w:rFonts w:ascii="Times New Roman" w:eastAsia="Times New Roman" w:hAnsi="Times New Roman" w:cs="Times New Roman"/>
          <w:sz w:val="24"/>
          <w:szCs w:val="24"/>
          <w:lang w:val="en-US" w:eastAsia="pt-BR"/>
        </w:rPr>
        <w:t>, vol. 33, No. 6 (2004), pp. 606–608.</w:t>
      </w:r>
    </w:p>
    <w:p w:rsidR="000942F0" w:rsidRPr="0027499D" w:rsidRDefault="000942F0" w:rsidP="0027499D">
      <w:pPr>
        <w:pStyle w:val="PargrafodaLista"/>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pt-BR"/>
        </w:rPr>
      </w:pPr>
      <w:proofErr w:type="spellStart"/>
      <w:r w:rsidRPr="0027499D">
        <w:rPr>
          <w:rFonts w:ascii="Times New Roman" w:eastAsia="Times New Roman" w:hAnsi="Times New Roman" w:cs="Times New Roman"/>
          <w:sz w:val="24"/>
          <w:szCs w:val="24"/>
          <w:lang w:val="en-US" w:eastAsia="pt-BR"/>
        </w:rPr>
        <w:t>Beger</w:t>
      </w:r>
      <w:proofErr w:type="spellEnd"/>
      <w:r w:rsidRPr="0027499D">
        <w:rPr>
          <w:rFonts w:ascii="Times New Roman" w:eastAsia="Times New Roman" w:hAnsi="Times New Roman" w:cs="Times New Roman"/>
          <w:sz w:val="24"/>
          <w:szCs w:val="24"/>
          <w:lang w:val="en-US" w:eastAsia="pt-BR"/>
        </w:rPr>
        <w:t xml:space="preserve">, O. and others, “Effects of different cadaver preservation methods on muscles and tendons: A morphometric, biomechanical and histological study”, </w:t>
      </w:r>
      <w:r w:rsidRPr="0027499D">
        <w:rPr>
          <w:rFonts w:ascii="Times New Roman" w:eastAsia="Times New Roman" w:hAnsi="Times New Roman" w:cs="Times New Roman"/>
          <w:i/>
          <w:iCs/>
          <w:sz w:val="24"/>
          <w:szCs w:val="24"/>
          <w:lang w:val="en-US" w:eastAsia="pt-BR"/>
        </w:rPr>
        <w:t>Anatomical Science International</w:t>
      </w:r>
      <w:r w:rsidRPr="0027499D">
        <w:rPr>
          <w:rFonts w:ascii="Times New Roman" w:eastAsia="Times New Roman" w:hAnsi="Times New Roman" w:cs="Times New Roman"/>
          <w:sz w:val="24"/>
          <w:szCs w:val="24"/>
          <w:lang w:val="en-US" w:eastAsia="pt-BR"/>
        </w:rPr>
        <w:t>, vol. 95, No. 2 (2020), pp. 174–189. https://doi.org/10.1007/s12565-019-00508-z</w:t>
      </w:r>
    </w:p>
    <w:p w:rsidR="0027499D" w:rsidRPr="0027499D" w:rsidRDefault="000942F0" w:rsidP="0027499D">
      <w:pPr>
        <w:pStyle w:val="PargrafodaLista"/>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pt-BR"/>
        </w:rPr>
      </w:pPr>
      <w:proofErr w:type="spellStart"/>
      <w:r w:rsidRPr="0027499D">
        <w:rPr>
          <w:rFonts w:ascii="Times New Roman" w:eastAsia="Times New Roman" w:hAnsi="Times New Roman" w:cs="Times New Roman"/>
          <w:sz w:val="24"/>
          <w:szCs w:val="24"/>
          <w:lang w:val="en-US" w:eastAsia="pt-BR"/>
        </w:rPr>
        <w:t>Shoja</w:t>
      </w:r>
      <w:proofErr w:type="spellEnd"/>
      <w:r w:rsidRPr="0027499D">
        <w:rPr>
          <w:rFonts w:ascii="Times New Roman" w:eastAsia="Times New Roman" w:hAnsi="Times New Roman" w:cs="Times New Roman"/>
          <w:sz w:val="24"/>
          <w:szCs w:val="24"/>
          <w:lang w:val="en-US" w:eastAsia="pt-BR"/>
        </w:rPr>
        <w:t xml:space="preserve">, M. M. and others, “A historical perspective: Infection from cadaveric dissection from the 18th to 20th centuries”, </w:t>
      </w:r>
      <w:r w:rsidRPr="0027499D">
        <w:rPr>
          <w:rFonts w:ascii="Times New Roman" w:eastAsia="Times New Roman" w:hAnsi="Times New Roman" w:cs="Times New Roman"/>
          <w:i/>
          <w:iCs/>
          <w:sz w:val="24"/>
          <w:szCs w:val="24"/>
          <w:lang w:val="en-US" w:eastAsia="pt-BR"/>
        </w:rPr>
        <w:t>Clinical Anatomy</w:t>
      </w:r>
      <w:r w:rsidRPr="0027499D">
        <w:rPr>
          <w:rFonts w:ascii="Times New Roman" w:eastAsia="Times New Roman" w:hAnsi="Times New Roman" w:cs="Times New Roman"/>
          <w:sz w:val="24"/>
          <w:szCs w:val="24"/>
          <w:lang w:val="en-US" w:eastAsia="pt-BR"/>
        </w:rPr>
        <w:t xml:space="preserve">, vol. 26, No. 2 (2013), pp. 154–160. </w:t>
      </w:r>
      <w:hyperlink r:id="rId5" w:tgtFrame="_new" w:history="1">
        <w:r w:rsidRPr="0027499D">
          <w:rPr>
            <w:rFonts w:ascii="Times New Roman" w:eastAsia="Times New Roman" w:hAnsi="Times New Roman" w:cs="Times New Roman"/>
            <w:sz w:val="24"/>
            <w:szCs w:val="24"/>
            <w:lang w:val="en-US" w:eastAsia="pt-BR"/>
          </w:rPr>
          <w:t>https://doi.org/10.1002/ca.22169</w:t>
        </w:r>
      </w:hyperlink>
    </w:p>
    <w:p w:rsidR="000942F0" w:rsidRPr="0027499D" w:rsidRDefault="0027499D" w:rsidP="0027499D">
      <w:pPr>
        <w:pStyle w:val="PargrafodaLista"/>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pt-BR"/>
        </w:rPr>
      </w:pPr>
      <w:proofErr w:type="spellStart"/>
      <w:r w:rsidRPr="0027499D">
        <w:rPr>
          <w:rFonts w:ascii="Times New Roman" w:eastAsia="Times New Roman" w:hAnsi="Times New Roman" w:cs="Times New Roman"/>
          <w:sz w:val="24"/>
          <w:szCs w:val="24"/>
          <w:lang w:val="en-US" w:eastAsia="pt-BR"/>
        </w:rPr>
        <w:t>Corrêa</w:t>
      </w:r>
      <w:proofErr w:type="spellEnd"/>
      <w:r w:rsidRPr="0027499D">
        <w:rPr>
          <w:rFonts w:ascii="Times New Roman" w:eastAsia="Times New Roman" w:hAnsi="Times New Roman" w:cs="Times New Roman"/>
          <w:sz w:val="24"/>
          <w:szCs w:val="24"/>
          <w:lang w:val="en-US" w:eastAsia="pt-BR"/>
        </w:rPr>
        <w:t xml:space="preserve">, R. R. and others, “Gross, organoleptic and histologic assessment of cadaveric equine heads preserved using chemical methods for veterinary surgical teaching”, </w:t>
      </w:r>
      <w:r w:rsidRPr="0027499D">
        <w:rPr>
          <w:rFonts w:ascii="Times New Roman" w:eastAsia="Times New Roman" w:hAnsi="Times New Roman" w:cs="Times New Roman"/>
          <w:i/>
          <w:iCs/>
          <w:sz w:val="24"/>
          <w:szCs w:val="24"/>
          <w:lang w:val="en-US" w:eastAsia="pt-BR"/>
        </w:rPr>
        <w:t>Journal of Veterinary Science</w:t>
      </w:r>
      <w:r w:rsidRPr="0027499D">
        <w:rPr>
          <w:rFonts w:ascii="Times New Roman" w:eastAsia="Times New Roman" w:hAnsi="Times New Roman" w:cs="Times New Roman"/>
          <w:sz w:val="24"/>
          <w:szCs w:val="24"/>
          <w:lang w:val="en-US" w:eastAsia="pt-BR"/>
        </w:rPr>
        <w:t xml:space="preserve">, vol. 25 (2024), e29. </w:t>
      </w:r>
      <w:hyperlink r:id="rId6" w:tgtFrame="_new" w:history="1">
        <w:r w:rsidRPr="0027499D">
          <w:rPr>
            <w:rFonts w:ascii="Times New Roman" w:eastAsia="Times New Roman" w:hAnsi="Times New Roman" w:cs="Times New Roman"/>
            <w:sz w:val="24"/>
            <w:szCs w:val="24"/>
            <w:lang w:val="en-US" w:eastAsia="pt-BR"/>
          </w:rPr>
          <w:t>https://doi.org/10.4142/jvs.23176</w:t>
        </w:r>
      </w:hyperlink>
    </w:p>
    <w:p w:rsidR="000942F0" w:rsidRPr="0027499D" w:rsidRDefault="000942F0" w:rsidP="0027499D">
      <w:pPr>
        <w:pStyle w:val="PargrafodaLista"/>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pt-BR"/>
        </w:rPr>
      </w:pPr>
      <w:r w:rsidRPr="0027499D">
        <w:rPr>
          <w:rFonts w:ascii="Times New Roman" w:eastAsia="Times New Roman" w:hAnsi="Times New Roman" w:cs="Times New Roman"/>
          <w:sz w:val="24"/>
          <w:szCs w:val="24"/>
          <w:lang w:val="en-US" w:eastAsia="pt-BR"/>
        </w:rPr>
        <w:t xml:space="preserve">Guaraná, J. B. and others, “Swine viscera preservation in </w:t>
      </w:r>
      <w:proofErr w:type="spellStart"/>
      <w:r w:rsidRPr="0027499D">
        <w:rPr>
          <w:rFonts w:ascii="Times New Roman" w:eastAsia="Times New Roman" w:hAnsi="Times New Roman" w:cs="Times New Roman"/>
          <w:sz w:val="24"/>
          <w:szCs w:val="24"/>
          <w:lang w:val="en-US" w:eastAsia="pt-BR"/>
        </w:rPr>
        <w:t>hypersaturated</w:t>
      </w:r>
      <w:proofErr w:type="spellEnd"/>
      <w:r w:rsidRPr="0027499D">
        <w:rPr>
          <w:rFonts w:ascii="Times New Roman" w:eastAsia="Times New Roman" w:hAnsi="Times New Roman" w:cs="Times New Roman"/>
          <w:sz w:val="24"/>
          <w:szCs w:val="24"/>
          <w:lang w:val="en-US" w:eastAsia="pt-BR"/>
        </w:rPr>
        <w:t xml:space="preserve"> salt solution after alcohol fixation as a preparation method for educational purposes”, </w:t>
      </w:r>
      <w:proofErr w:type="spellStart"/>
      <w:r w:rsidRPr="0027499D">
        <w:rPr>
          <w:rFonts w:ascii="Times New Roman" w:eastAsia="Times New Roman" w:hAnsi="Times New Roman" w:cs="Times New Roman"/>
          <w:i/>
          <w:iCs/>
          <w:sz w:val="24"/>
          <w:szCs w:val="24"/>
          <w:lang w:val="en-US" w:eastAsia="pt-BR"/>
        </w:rPr>
        <w:t>Anatomia</w:t>
      </w:r>
      <w:proofErr w:type="spellEnd"/>
      <w:r w:rsidRPr="0027499D">
        <w:rPr>
          <w:rFonts w:ascii="Times New Roman" w:eastAsia="Times New Roman" w:hAnsi="Times New Roman" w:cs="Times New Roman"/>
          <w:i/>
          <w:iCs/>
          <w:sz w:val="24"/>
          <w:szCs w:val="24"/>
          <w:lang w:val="en-US" w:eastAsia="pt-BR"/>
        </w:rPr>
        <w:t xml:space="preserve">, </w:t>
      </w:r>
      <w:proofErr w:type="spellStart"/>
      <w:r w:rsidRPr="0027499D">
        <w:rPr>
          <w:rFonts w:ascii="Times New Roman" w:eastAsia="Times New Roman" w:hAnsi="Times New Roman" w:cs="Times New Roman"/>
          <w:i/>
          <w:iCs/>
          <w:sz w:val="24"/>
          <w:szCs w:val="24"/>
          <w:lang w:val="en-US" w:eastAsia="pt-BR"/>
        </w:rPr>
        <w:t>Histologia</w:t>
      </w:r>
      <w:proofErr w:type="spellEnd"/>
      <w:r w:rsidRPr="0027499D">
        <w:rPr>
          <w:rFonts w:ascii="Times New Roman" w:eastAsia="Times New Roman" w:hAnsi="Times New Roman" w:cs="Times New Roman"/>
          <w:i/>
          <w:iCs/>
          <w:sz w:val="24"/>
          <w:szCs w:val="24"/>
          <w:lang w:val="en-US" w:eastAsia="pt-BR"/>
        </w:rPr>
        <w:t xml:space="preserve">, </w:t>
      </w:r>
      <w:proofErr w:type="spellStart"/>
      <w:r w:rsidRPr="0027499D">
        <w:rPr>
          <w:rFonts w:ascii="Times New Roman" w:eastAsia="Times New Roman" w:hAnsi="Times New Roman" w:cs="Times New Roman"/>
          <w:i/>
          <w:iCs/>
          <w:sz w:val="24"/>
          <w:szCs w:val="24"/>
          <w:lang w:val="en-US" w:eastAsia="pt-BR"/>
        </w:rPr>
        <w:t>Embryologia</w:t>
      </w:r>
      <w:proofErr w:type="spellEnd"/>
      <w:r w:rsidRPr="0027499D">
        <w:rPr>
          <w:rFonts w:ascii="Times New Roman" w:eastAsia="Times New Roman" w:hAnsi="Times New Roman" w:cs="Times New Roman"/>
          <w:sz w:val="24"/>
          <w:szCs w:val="24"/>
          <w:lang w:val="en-US" w:eastAsia="pt-BR"/>
        </w:rPr>
        <w:t>, vol. 50, No. 6 (2021), pp. 996–1006</w:t>
      </w:r>
      <w:proofErr w:type="gramStart"/>
      <w:r w:rsidRPr="0027499D">
        <w:rPr>
          <w:rFonts w:ascii="Times New Roman" w:eastAsia="Times New Roman" w:hAnsi="Times New Roman" w:cs="Times New Roman"/>
          <w:sz w:val="24"/>
          <w:szCs w:val="24"/>
          <w:lang w:val="en-US" w:eastAsia="pt-BR"/>
        </w:rPr>
        <w:t>..</w:t>
      </w:r>
      <w:proofErr w:type="gramEnd"/>
    </w:p>
    <w:p w:rsidR="000942F0" w:rsidRPr="0027499D" w:rsidRDefault="000942F0" w:rsidP="0027499D">
      <w:pPr>
        <w:pStyle w:val="PargrafodaLista"/>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pt-BR"/>
        </w:rPr>
      </w:pPr>
      <w:r w:rsidRPr="0027499D">
        <w:rPr>
          <w:rFonts w:ascii="Times New Roman" w:eastAsia="Times New Roman" w:hAnsi="Times New Roman" w:cs="Times New Roman"/>
          <w:sz w:val="24"/>
          <w:szCs w:val="24"/>
          <w:lang w:val="en-US" w:eastAsia="pt-BR"/>
        </w:rPr>
        <w:t xml:space="preserve">Guaraná, J. B. and others, “Innovative preservation and training utility of chemically preserved swine viscera for veterinary surgical education”, </w:t>
      </w:r>
      <w:r w:rsidRPr="0027499D">
        <w:rPr>
          <w:rFonts w:ascii="Times New Roman" w:eastAsia="Times New Roman" w:hAnsi="Times New Roman" w:cs="Times New Roman"/>
          <w:i/>
          <w:iCs/>
          <w:sz w:val="24"/>
          <w:szCs w:val="24"/>
          <w:lang w:val="en-US" w:eastAsia="pt-BR"/>
        </w:rPr>
        <w:t>Journal of Human Anatomy &amp; Physiology</w:t>
      </w:r>
      <w:r w:rsidRPr="0027499D">
        <w:rPr>
          <w:rFonts w:ascii="Times New Roman" w:eastAsia="Times New Roman" w:hAnsi="Times New Roman" w:cs="Times New Roman"/>
          <w:sz w:val="24"/>
          <w:szCs w:val="24"/>
          <w:lang w:val="en-US" w:eastAsia="pt-BR"/>
        </w:rPr>
        <w:t xml:space="preserve">, vol. 8, No. 1 (2024). </w:t>
      </w:r>
      <w:hyperlink r:id="rId7" w:history="1">
        <w:r w:rsidRPr="0027499D">
          <w:rPr>
            <w:rFonts w:ascii="Times New Roman" w:eastAsia="Times New Roman" w:hAnsi="Times New Roman" w:cs="Times New Roman"/>
            <w:sz w:val="24"/>
            <w:szCs w:val="24"/>
            <w:lang w:val="en-US" w:eastAsia="pt-BR"/>
          </w:rPr>
          <w:t>https://doi.org/10.23880/jhua-16000200</w:t>
        </w:r>
      </w:hyperlink>
    </w:p>
    <w:p w:rsidR="00395E22" w:rsidRPr="0027499D" w:rsidRDefault="00395E22" w:rsidP="0027499D">
      <w:pPr>
        <w:spacing w:before="100" w:beforeAutospacing="1" w:after="100" w:afterAutospacing="1" w:line="240" w:lineRule="auto"/>
        <w:rPr>
          <w:rFonts w:ascii="Times New Roman" w:eastAsia="Times New Roman" w:hAnsi="Times New Roman" w:cs="Times New Roman"/>
          <w:sz w:val="24"/>
          <w:szCs w:val="24"/>
          <w:lang w:val="en-US" w:eastAsia="pt-BR"/>
        </w:rPr>
      </w:pPr>
    </w:p>
    <w:sectPr w:rsidR="00395E22" w:rsidRPr="002749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E252A2"/>
    <w:multiLevelType w:val="hybridMultilevel"/>
    <w:tmpl w:val="A4B660C2"/>
    <w:lvl w:ilvl="0" w:tplc="0409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658"/>
    <w:rsid w:val="000942F0"/>
    <w:rsid w:val="00104658"/>
    <w:rsid w:val="0027499D"/>
    <w:rsid w:val="00395E22"/>
    <w:rsid w:val="004E267B"/>
    <w:rsid w:val="0071611E"/>
    <w:rsid w:val="00937FCE"/>
    <w:rsid w:val="00B10F7A"/>
    <w:rsid w:val="00D409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828C62-50C5-4291-AF58-65B53D4B9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har"/>
    <w:uiPriority w:val="9"/>
    <w:qFormat/>
    <w:rsid w:val="00D409C8"/>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isselectedend">
    <w:name w:val="isselectedend"/>
    <w:basedOn w:val="Normal"/>
    <w:rsid w:val="0010465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10465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04658"/>
    <w:rPr>
      <w:b/>
      <w:bCs/>
    </w:rPr>
  </w:style>
  <w:style w:type="character" w:customStyle="1" w:styleId="Ttulo2Char">
    <w:name w:val="Título 2 Char"/>
    <w:basedOn w:val="Fontepargpadro"/>
    <w:link w:val="Ttulo2"/>
    <w:uiPriority w:val="9"/>
    <w:rsid w:val="00D409C8"/>
    <w:rPr>
      <w:rFonts w:ascii="Times New Roman" w:eastAsia="Times New Roman" w:hAnsi="Times New Roman" w:cs="Times New Roman"/>
      <w:b/>
      <w:bCs/>
      <w:sz w:val="36"/>
      <w:szCs w:val="36"/>
      <w:lang w:eastAsia="pt-BR"/>
    </w:rPr>
  </w:style>
  <w:style w:type="character" w:styleId="nfase">
    <w:name w:val="Emphasis"/>
    <w:basedOn w:val="Fontepargpadro"/>
    <w:uiPriority w:val="20"/>
    <w:qFormat/>
    <w:rsid w:val="000942F0"/>
    <w:rPr>
      <w:i/>
      <w:iCs/>
    </w:rPr>
  </w:style>
  <w:style w:type="character" w:styleId="Hyperlink">
    <w:name w:val="Hyperlink"/>
    <w:basedOn w:val="Fontepargpadro"/>
    <w:uiPriority w:val="99"/>
    <w:unhideWhenUsed/>
    <w:rsid w:val="000942F0"/>
    <w:rPr>
      <w:color w:val="0563C1" w:themeColor="hyperlink"/>
      <w:u w:val="single"/>
    </w:rPr>
  </w:style>
  <w:style w:type="paragraph" w:styleId="PargrafodaLista">
    <w:name w:val="List Paragraph"/>
    <w:basedOn w:val="Normal"/>
    <w:uiPriority w:val="34"/>
    <w:qFormat/>
    <w:rsid w:val="002749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316387">
      <w:bodyDiv w:val="1"/>
      <w:marLeft w:val="0"/>
      <w:marRight w:val="0"/>
      <w:marTop w:val="0"/>
      <w:marBottom w:val="0"/>
      <w:divBdr>
        <w:top w:val="none" w:sz="0" w:space="0" w:color="auto"/>
        <w:left w:val="none" w:sz="0" w:space="0" w:color="auto"/>
        <w:bottom w:val="none" w:sz="0" w:space="0" w:color="auto"/>
        <w:right w:val="none" w:sz="0" w:space="0" w:color="auto"/>
      </w:divBdr>
    </w:div>
    <w:div w:id="639697510">
      <w:bodyDiv w:val="1"/>
      <w:marLeft w:val="0"/>
      <w:marRight w:val="0"/>
      <w:marTop w:val="0"/>
      <w:marBottom w:val="0"/>
      <w:divBdr>
        <w:top w:val="none" w:sz="0" w:space="0" w:color="auto"/>
        <w:left w:val="none" w:sz="0" w:space="0" w:color="auto"/>
        <w:bottom w:val="none" w:sz="0" w:space="0" w:color="auto"/>
        <w:right w:val="none" w:sz="0" w:space="0" w:color="auto"/>
      </w:divBdr>
    </w:div>
    <w:div w:id="931620086">
      <w:bodyDiv w:val="1"/>
      <w:marLeft w:val="0"/>
      <w:marRight w:val="0"/>
      <w:marTop w:val="0"/>
      <w:marBottom w:val="0"/>
      <w:divBdr>
        <w:top w:val="none" w:sz="0" w:space="0" w:color="auto"/>
        <w:left w:val="none" w:sz="0" w:space="0" w:color="auto"/>
        <w:bottom w:val="none" w:sz="0" w:space="0" w:color="auto"/>
        <w:right w:val="none" w:sz="0" w:space="0" w:color="auto"/>
      </w:divBdr>
      <w:divsChild>
        <w:div w:id="2057116605">
          <w:marLeft w:val="0"/>
          <w:marRight w:val="0"/>
          <w:marTop w:val="0"/>
          <w:marBottom w:val="0"/>
          <w:divBdr>
            <w:top w:val="none" w:sz="0" w:space="0" w:color="auto"/>
            <w:left w:val="none" w:sz="0" w:space="0" w:color="auto"/>
            <w:bottom w:val="none" w:sz="0" w:space="0" w:color="auto"/>
            <w:right w:val="none" w:sz="0" w:space="0" w:color="auto"/>
          </w:divBdr>
          <w:divsChild>
            <w:div w:id="1142888773">
              <w:marLeft w:val="0"/>
              <w:marRight w:val="0"/>
              <w:marTop w:val="0"/>
              <w:marBottom w:val="0"/>
              <w:divBdr>
                <w:top w:val="none" w:sz="0" w:space="0" w:color="auto"/>
                <w:left w:val="none" w:sz="0" w:space="0" w:color="auto"/>
                <w:bottom w:val="none" w:sz="0" w:space="0" w:color="auto"/>
                <w:right w:val="none" w:sz="0" w:space="0" w:color="auto"/>
              </w:divBdr>
              <w:divsChild>
                <w:div w:id="602765749">
                  <w:marLeft w:val="0"/>
                  <w:marRight w:val="0"/>
                  <w:marTop w:val="0"/>
                  <w:marBottom w:val="0"/>
                  <w:divBdr>
                    <w:top w:val="none" w:sz="0" w:space="0" w:color="auto"/>
                    <w:left w:val="none" w:sz="0" w:space="0" w:color="auto"/>
                    <w:bottom w:val="none" w:sz="0" w:space="0" w:color="auto"/>
                    <w:right w:val="none" w:sz="0" w:space="0" w:color="auto"/>
                  </w:divBdr>
                  <w:divsChild>
                    <w:div w:id="1362782813">
                      <w:marLeft w:val="0"/>
                      <w:marRight w:val="0"/>
                      <w:marTop w:val="0"/>
                      <w:marBottom w:val="0"/>
                      <w:divBdr>
                        <w:top w:val="none" w:sz="0" w:space="0" w:color="auto"/>
                        <w:left w:val="none" w:sz="0" w:space="0" w:color="auto"/>
                        <w:bottom w:val="none" w:sz="0" w:space="0" w:color="auto"/>
                        <w:right w:val="none" w:sz="0" w:space="0" w:color="auto"/>
                      </w:divBdr>
                      <w:divsChild>
                        <w:div w:id="438725495">
                          <w:marLeft w:val="0"/>
                          <w:marRight w:val="0"/>
                          <w:marTop w:val="0"/>
                          <w:marBottom w:val="0"/>
                          <w:divBdr>
                            <w:top w:val="none" w:sz="0" w:space="0" w:color="auto"/>
                            <w:left w:val="none" w:sz="0" w:space="0" w:color="auto"/>
                            <w:bottom w:val="none" w:sz="0" w:space="0" w:color="auto"/>
                            <w:right w:val="none" w:sz="0" w:space="0" w:color="auto"/>
                          </w:divBdr>
                          <w:divsChild>
                            <w:div w:id="1087917789">
                              <w:marLeft w:val="0"/>
                              <w:marRight w:val="0"/>
                              <w:marTop w:val="0"/>
                              <w:marBottom w:val="0"/>
                              <w:divBdr>
                                <w:top w:val="none" w:sz="0" w:space="0" w:color="auto"/>
                                <w:left w:val="none" w:sz="0" w:space="0" w:color="auto"/>
                                <w:bottom w:val="none" w:sz="0" w:space="0" w:color="auto"/>
                                <w:right w:val="none" w:sz="0" w:space="0" w:color="auto"/>
                              </w:divBdr>
                              <w:divsChild>
                                <w:div w:id="20984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228471">
      <w:bodyDiv w:val="1"/>
      <w:marLeft w:val="0"/>
      <w:marRight w:val="0"/>
      <w:marTop w:val="0"/>
      <w:marBottom w:val="0"/>
      <w:divBdr>
        <w:top w:val="none" w:sz="0" w:space="0" w:color="auto"/>
        <w:left w:val="none" w:sz="0" w:space="0" w:color="auto"/>
        <w:bottom w:val="none" w:sz="0" w:space="0" w:color="auto"/>
        <w:right w:val="none" w:sz="0" w:space="0" w:color="auto"/>
      </w:divBdr>
    </w:div>
    <w:div w:id="1251812712">
      <w:bodyDiv w:val="1"/>
      <w:marLeft w:val="0"/>
      <w:marRight w:val="0"/>
      <w:marTop w:val="0"/>
      <w:marBottom w:val="0"/>
      <w:divBdr>
        <w:top w:val="none" w:sz="0" w:space="0" w:color="auto"/>
        <w:left w:val="none" w:sz="0" w:space="0" w:color="auto"/>
        <w:bottom w:val="none" w:sz="0" w:space="0" w:color="auto"/>
        <w:right w:val="none" w:sz="0" w:space="0" w:color="auto"/>
      </w:divBdr>
    </w:div>
    <w:div w:id="173927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23880/jhua-160002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4142/jvs.23176" TargetMode="External"/><Relationship Id="rId5" Type="http://schemas.openxmlformats.org/officeDocument/2006/relationships/hyperlink" Target="https://doi.org/10.1002/ca.2216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2</Pages>
  <Words>1123</Words>
  <Characters>6069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Conta da Microsoft</cp:lastModifiedBy>
  <cp:revision>5</cp:revision>
  <dcterms:created xsi:type="dcterms:W3CDTF">2026-06-10T20:17:00Z</dcterms:created>
  <dcterms:modified xsi:type="dcterms:W3CDTF">2026-06-10T23:59:00Z</dcterms:modified>
</cp:coreProperties>
</file>