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F58C8" w14:textId="78837D63" w:rsidR="005B3B83" w:rsidRDefault="005B3B83" w:rsidP="005B3B83">
      <w:pPr>
        <w:spacing w:before="360" w:after="360" w:line="480" w:lineRule="auto"/>
        <w:jc w:val="center"/>
        <w:rPr>
          <w:rFonts w:ascii="Times" w:eastAsia="Times New Roman" w:hAnsi="Times" w:cs="Times New Roman"/>
          <w:b/>
          <w:kern w:val="0"/>
          <w:szCs w:val="20"/>
          <w14:ligatures w14:val="none"/>
        </w:rPr>
      </w:pPr>
      <w:r w:rsidRPr="005B3B83">
        <w:rPr>
          <w:rFonts w:ascii="Times" w:eastAsia="Times New Roman" w:hAnsi="Times" w:cs="Times New Roman"/>
          <w:b/>
          <w:kern w:val="0"/>
          <w:szCs w:val="20"/>
          <w14:ligatures w14:val="none"/>
        </w:rPr>
        <w:t>Ruthenium complexes Triggering Apoptosis: A Novel Anti-Tumor Strategy for Triple-Negative Breast Cancer</w:t>
      </w:r>
    </w:p>
    <w:p w14:paraId="759A2A91" w14:textId="306EA912" w:rsidR="005B3B83" w:rsidRPr="005B3B83" w:rsidRDefault="005B3B83" w:rsidP="005B3B83">
      <w:pPr>
        <w:spacing w:before="360" w:after="360" w:line="480" w:lineRule="auto"/>
        <w:jc w:val="center"/>
        <w:rPr>
          <w:rFonts w:ascii="Times" w:eastAsia="Times New Roman" w:hAnsi="Times" w:cs="Times New Roman"/>
          <w:bCs/>
          <w:kern w:val="0"/>
          <w:szCs w:val="20"/>
          <w14:ligatures w14:val="none"/>
        </w:rPr>
      </w:pPr>
      <w:r w:rsidRPr="005B3B83">
        <w:rPr>
          <w:rFonts w:ascii="Times" w:eastAsia="Times New Roman" w:hAnsi="Times" w:cs="Times New Roman"/>
          <w:bCs/>
          <w:kern w:val="0"/>
          <w:szCs w:val="20"/>
          <w14:ligatures w14:val="none"/>
        </w:rPr>
        <w:t>Dr. Shahid Ullah Khan</w:t>
      </w:r>
    </w:p>
    <w:p w14:paraId="0E0BB51B" w14:textId="36E46299" w:rsidR="005B3B83" w:rsidRPr="005B3B83" w:rsidRDefault="005B3B83" w:rsidP="005B3B83">
      <w:pPr>
        <w:spacing w:before="360" w:after="360" w:line="480" w:lineRule="auto"/>
        <w:jc w:val="center"/>
        <w:rPr>
          <w:rFonts w:ascii="Times" w:eastAsia="Times New Roman" w:hAnsi="Times" w:cs="Times New Roman"/>
          <w:bCs/>
          <w:kern w:val="0"/>
          <w:szCs w:val="20"/>
          <w14:ligatures w14:val="none"/>
        </w:rPr>
      </w:pPr>
      <w:r w:rsidRPr="005B3B83">
        <w:rPr>
          <w:rFonts w:ascii="Times" w:eastAsia="Times New Roman" w:hAnsi="Times" w:cs="Times New Roman"/>
          <w:bCs/>
          <w:kern w:val="0"/>
          <w:szCs w:val="20"/>
          <w14:ligatures w14:val="none"/>
        </w:rPr>
        <w:t xml:space="preserve">College of Medicine, </w:t>
      </w:r>
      <w:r w:rsidR="00BB195F">
        <w:rPr>
          <w:rFonts w:ascii="Times" w:eastAsia="Times New Roman" w:hAnsi="Times" w:cs="Times New Roman"/>
          <w:bCs/>
          <w:kern w:val="0"/>
          <w:szCs w:val="20"/>
          <w14:ligatures w14:val="none"/>
        </w:rPr>
        <w:t>Dubai Medical University UAE</w:t>
      </w:r>
      <w:r w:rsidRPr="005B3B83">
        <w:rPr>
          <w:rFonts w:ascii="Times" w:eastAsia="Times New Roman" w:hAnsi="Times" w:cs="Times New Roman"/>
          <w:bCs/>
          <w:kern w:val="0"/>
          <w:szCs w:val="20"/>
          <w14:ligatures w14:val="none"/>
        </w:rPr>
        <w:t xml:space="preserve"> </w:t>
      </w:r>
    </w:p>
    <w:p w14:paraId="5A6858A8" w14:textId="6B58B77A" w:rsidR="005B3B83" w:rsidRPr="005B3B83" w:rsidRDefault="005B3B83" w:rsidP="005B3B83">
      <w:pPr>
        <w:spacing w:before="360" w:after="360" w:line="480" w:lineRule="auto"/>
        <w:jc w:val="both"/>
        <w:rPr>
          <w:rFonts w:ascii="Times" w:eastAsia="Times New Roman" w:hAnsi="Times" w:cs="Times New Roman"/>
          <w:kern w:val="0"/>
          <w:szCs w:val="20"/>
          <w14:ligatures w14:val="none"/>
        </w:rPr>
      </w:pPr>
      <w:r w:rsidRPr="005B3B83">
        <w:rPr>
          <w:rFonts w:ascii="Times" w:eastAsia="Times New Roman" w:hAnsi="Times" w:cs="Times New Roman"/>
          <w:b/>
          <w:kern w:val="0"/>
          <w:szCs w:val="20"/>
          <w14:ligatures w14:val="none"/>
        </w:rPr>
        <w:t>Abstract</w:t>
      </w:r>
      <w:r w:rsidRPr="005B3B83">
        <w:rPr>
          <w:rFonts w:ascii="Times" w:eastAsia="Times New Roman" w:hAnsi="Times" w:cs="Times New Roman"/>
          <w:kern w:val="0"/>
          <w:szCs w:val="20"/>
          <w14:ligatures w14:val="none"/>
        </w:rPr>
        <w:t xml:space="preserve"> </w:t>
      </w:r>
    </w:p>
    <w:p w14:paraId="701DFBA5" w14:textId="2C0FE2FB" w:rsidR="005B3B83" w:rsidRDefault="005B3B83" w:rsidP="005B3B83">
      <w:pPr>
        <w:spacing w:after="0" w:line="480" w:lineRule="auto"/>
        <w:ind w:firstLine="202"/>
        <w:jc w:val="both"/>
        <w:rPr>
          <w:rFonts w:ascii="Times" w:eastAsia="Times New Roman" w:hAnsi="Times" w:cs="Times New Roman"/>
          <w:kern w:val="0"/>
          <w:szCs w:val="20"/>
          <w14:ligatures w14:val="none"/>
        </w:rPr>
      </w:pPr>
      <w:bookmarkStart w:id="0" w:name="_Hlk172032961"/>
      <w:r w:rsidRPr="005B3B83">
        <w:rPr>
          <w:rFonts w:ascii="Times" w:eastAsia="Times New Roman" w:hAnsi="Times" w:cs="Times New Roman" w:hint="eastAsia"/>
          <w:kern w:val="0"/>
          <w:szCs w:val="20"/>
          <w14:ligatures w14:val="none"/>
        </w:rPr>
        <w:t>C</w:t>
      </w:r>
      <w:r w:rsidRPr="005B3B83">
        <w:rPr>
          <w:rFonts w:ascii="Times" w:eastAsia="Times New Roman" w:hAnsi="Times" w:cs="Times New Roman"/>
          <w:kern w:val="0"/>
          <w:szCs w:val="20"/>
          <w14:ligatures w14:val="none"/>
        </w:rPr>
        <w:t>entral objective in clinical oncology has been the development of therapeutic strategies aimed at effectively triggering apoptosis of different cancer cells. Ruthenium complexes are the leverage and emerged anticancer strategy to combat multiple forms of cancer cells.</w:t>
      </w:r>
      <w:r w:rsidRPr="005B3B83">
        <w:rPr>
          <w:rFonts w:ascii="Times" w:eastAsia="Times New Roman" w:hAnsi="Times" w:cs="Times New Roman" w:hint="eastAsia"/>
          <w:kern w:val="0"/>
          <w:szCs w:val="20"/>
          <w14:ligatures w14:val="none"/>
        </w:rPr>
        <w:t xml:space="preserve"> </w:t>
      </w:r>
      <w:r w:rsidRPr="005B3B83">
        <w:rPr>
          <w:rFonts w:ascii="Times" w:eastAsia="Times New Roman" w:hAnsi="Times" w:cs="Times New Roman"/>
          <w:kern w:val="0"/>
          <w:szCs w:val="20"/>
          <w14:ligatures w14:val="none"/>
        </w:rPr>
        <w:t>In this study, we synthesized 12 monofunctional ONS-donor salicylaldimine ligand-based Ru (II)(</w:t>
      </w:r>
      <w:r w:rsidRPr="005B3B83">
        <w:rPr>
          <w:rFonts w:ascii="Times" w:eastAsia="Times New Roman" w:hAnsi="Times" w:cs="Times New Roman"/>
          <w:i/>
          <w:iCs/>
          <w:kern w:val="0"/>
          <w:szCs w:val="20"/>
          <w14:ligatures w14:val="none"/>
        </w:rPr>
        <w:t>p</w:t>
      </w:r>
      <w:r w:rsidRPr="005B3B83">
        <w:rPr>
          <w:rFonts w:ascii="Times" w:eastAsia="Times New Roman" w:hAnsi="Times" w:cs="Times New Roman"/>
          <w:kern w:val="0"/>
          <w:szCs w:val="20"/>
          <w14:ligatures w14:val="none"/>
        </w:rPr>
        <w:t>-cymene) complexes (</w:t>
      </w:r>
      <w:r w:rsidRPr="005B3B83">
        <w:rPr>
          <w:rFonts w:ascii="Times" w:eastAsia="Times New Roman" w:hAnsi="Times" w:cs="Times New Roman"/>
          <w:b/>
          <w:bCs/>
          <w:kern w:val="0"/>
          <w:szCs w:val="20"/>
          <w14:ligatures w14:val="none"/>
        </w:rPr>
        <w:t>C1</w:t>
      </w:r>
      <w:r w:rsidRPr="005B3B83">
        <w:rPr>
          <w:rFonts w:ascii="Times" w:eastAsia="Times New Roman" w:hAnsi="Times" w:cs="Times New Roman"/>
          <w:kern w:val="0"/>
          <w:szCs w:val="20"/>
          <w14:ligatures w14:val="none"/>
        </w:rPr>
        <w:t>-</w:t>
      </w:r>
      <w:r w:rsidRPr="005B3B83">
        <w:rPr>
          <w:rFonts w:ascii="Times" w:eastAsia="Times New Roman" w:hAnsi="Times" w:cs="Times New Roman"/>
          <w:b/>
          <w:bCs/>
          <w:kern w:val="0"/>
          <w:szCs w:val="20"/>
          <w14:ligatures w14:val="none"/>
        </w:rPr>
        <w:t>C12</w:t>
      </w:r>
      <w:r w:rsidRPr="005B3B83">
        <w:rPr>
          <w:rFonts w:ascii="Times" w:eastAsia="Times New Roman" w:hAnsi="Times" w:cs="Times New Roman"/>
          <w:kern w:val="0"/>
          <w:szCs w:val="20"/>
          <w14:ligatures w14:val="none"/>
        </w:rPr>
        <w:t xml:space="preserve">). These complexes were characterized by </w:t>
      </w:r>
      <w:r w:rsidRPr="005B3B83">
        <w:rPr>
          <w:rFonts w:ascii="Times" w:eastAsia="Times New Roman" w:hAnsi="Times" w:cs="Times New Roman"/>
          <w:kern w:val="0"/>
          <w:szCs w:val="20"/>
          <w:vertAlign w:val="superscript"/>
          <w14:ligatures w14:val="none"/>
        </w:rPr>
        <w:t>1</w:t>
      </w:r>
      <w:r w:rsidRPr="005B3B83">
        <w:rPr>
          <w:rFonts w:ascii="Times" w:eastAsia="Times New Roman" w:hAnsi="Times" w:cs="Times New Roman"/>
          <w:kern w:val="0"/>
          <w:szCs w:val="20"/>
          <w14:ligatures w14:val="none"/>
        </w:rPr>
        <w:t xml:space="preserve">H NMR, </w:t>
      </w:r>
      <w:r w:rsidRPr="005B3B83">
        <w:rPr>
          <w:rFonts w:ascii="Times" w:eastAsia="Times New Roman" w:hAnsi="Times" w:cs="Times New Roman"/>
          <w:kern w:val="0"/>
          <w:szCs w:val="20"/>
          <w:vertAlign w:val="superscript"/>
          <w14:ligatures w14:val="none"/>
        </w:rPr>
        <w:t>13</w:t>
      </w:r>
      <w:r w:rsidRPr="005B3B83">
        <w:rPr>
          <w:rFonts w:ascii="Times" w:eastAsia="Times New Roman" w:hAnsi="Times" w:cs="Times New Roman"/>
          <w:kern w:val="0"/>
          <w:szCs w:val="20"/>
          <w14:ligatures w14:val="none"/>
        </w:rPr>
        <w:t xml:space="preserve">C NMR, UV and FT-IR spectroscopy and high-resolution electrospray mass spectrophotometric analysis. The structure of </w:t>
      </w:r>
      <w:r w:rsidRPr="005B3B83">
        <w:rPr>
          <w:rFonts w:ascii="Times" w:eastAsia="Times New Roman" w:hAnsi="Times" w:cs="Times New Roman"/>
          <w:b/>
          <w:bCs/>
          <w:kern w:val="0"/>
          <w:szCs w:val="20"/>
          <w14:ligatures w14:val="none"/>
        </w:rPr>
        <w:t>C7</w:t>
      </w:r>
      <w:r w:rsidRPr="005B3B83">
        <w:rPr>
          <w:rFonts w:ascii="Times" w:eastAsia="Times New Roman" w:hAnsi="Times" w:cs="Times New Roman"/>
          <w:kern w:val="0"/>
          <w:szCs w:val="20"/>
          <w14:ligatures w14:val="none"/>
        </w:rPr>
        <w:t xml:space="preserve"> was confirmed in solid state by single crystal X-ray analysis, that revealed the exact orientation of the ligand around </w:t>
      </w:r>
      <w:proofErr w:type="gramStart"/>
      <w:r w:rsidRPr="005B3B83">
        <w:rPr>
          <w:rFonts w:ascii="Times" w:eastAsia="Times New Roman" w:hAnsi="Times" w:cs="Times New Roman"/>
          <w:kern w:val="0"/>
          <w:szCs w:val="20"/>
          <w14:ligatures w14:val="none"/>
        </w:rPr>
        <w:t>Ru(</w:t>
      </w:r>
      <w:proofErr w:type="gramEnd"/>
      <w:r w:rsidRPr="005B3B83">
        <w:rPr>
          <w:rFonts w:ascii="Times" w:eastAsia="Times New Roman" w:hAnsi="Times" w:cs="Times New Roman"/>
          <w:kern w:val="0"/>
          <w:szCs w:val="20"/>
          <w14:ligatures w14:val="none"/>
        </w:rPr>
        <w:t xml:space="preserve">II) center. These complexes were further investigated for their anticancer activity against MDA-MB-231, 4T1, U87MG and HeLa cancer cells. </w:t>
      </w:r>
      <w:r w:rsidRPr="005B3B83">
        <w:rPr>
          <w:rFonts w:ascii="Times" w:eastAsia="Times New Roman" w:hAnsi="Times" w:cs="Times New Roman" w:hint="eastAsia"/>
          <w:kern w:val="0"/>
          <w:szCs w:val="20"/>
          <w14:ligatures w14:val="none"/>
        </w:rPr>
        <w:t>A</w:t>
      </w:r>
      <w:r w:rsidRPr="005B3B83">
        <w:rPr>
          <w:rFonts w:ascii="Times" w:eastAsia="Times New Roman" w:hAnsi="Times" w:cs="Times New Roman"/>
          <w:kern w:val="0"/>
          <w:szCs w:val="20"/>
          <w14:ligatures w14:val="none"/>
        </w:rPr>
        <w:t xml:space="preserve"> dose-dependent manner</w:t>
      </w:r>
      <w:r w:rsidRPr="005B3B83">
        <w:rPr>
          <w:rFonts w:ascii="Times" w:eastAsia="Times New Roman" w:hAnsi="Times" w:cs="Times New Roman" w:hint="eastAsia"/>
          <w:kern w:val="0"/>
          <w:szCs w:val="20"/>
          <w14:ligatures w14:val="none"/>
        </w:rPr>
        <w:t xml:space="preserve"> reduction in cell viability and</w:t>
      </w:r>
      <w:r w:rsidRPr="005B3B83">
        <w:rPr>
          <w:rFonts w:ascii="Times" w:eastAsia="Times New Roman" w:hAnsi="Times" w:cs="Times New Roman"/>
          <w:kern w:val="0"/>
          <w:szCs w:val="20"/>
          <w14:ligatures w14:val="none"/>
        </w:rPr>
        <w:t xml:space="preserve"> survival rates of cancer cells was observed </w:t>
      </w:r>
      <w:r w:rsidRPr="005B3B83">
        <w:rPr>
          <w:rFonts w:ascii="Times" w:eastAsia="Times New Roman" w:hAnsi="Times" w:cs="Times New Roman" w:hint="eastAsia"/>
          <w:kern w:val="0"/>
          <w:szCs w:val="20"/>
          <w14:ligatures w14:val="none"/>
        </w:rPr>
        <w:t>following</w:t>
      </w:r>
      <w:r w:rsidRPr="005B3B83">
        <w:rPr>
          <w:rFonts w:ascii="Times" w:eastAsia="Times New Roman" w:hAnsi="Times" w:cs="Times New Roman"/>
          <w:kern w:val="0"/>
          <w:szCs w:val="20"/>
          <w14:ligatures w14:val="none"/>
        </w:rPr>
        <w:t xml:space="preserve"> treatment with these complexes. We identified that </w:t>
      </w:r>
      <w:r w:rsidRPr="005B3B83">
        <w:rPr>
          <w:rFonts w:ascii="Times" w:eastAsia="Times New Roman" w:hAnsi="Times" w:cs="Times New Roman"/>
          <w:b/>
          <w:bCs/>
          <w:kern w:val="0"/>
          <w:szCs w:val="20"/>
          <w14:ligatures w14:val="none"/>
        </w:rPr>
        <w:t>C2</w:t>
      </w:r>
      <w:r w:rsidRPr="005B3B83">
        <w:rPr>
          <w:rFonts w:ascii="Times" w:eastAsia="Times New Roman" w:hAnsi="Times" w:cs="Times New Roman"/>
          <w:kern w:val="0"/>
          <w:szCs w:val="20"/>
          <w14:ligatures w14:val="none"/>
        </w:rPr>
        <w:t xml:space="preserve">, </w:t>
      </w:r>
      <w:r w:rsidRPr="005B3B83">
        <w:rPr>
          <w:rFonts w:ascii="Times" w:eastAsia="Times New Roman" w:hAnsi="Times" w:cs="Times New Roman"/>
          <w:b/>
          <w:bCs/>
          <w:kern w:val="0"/>
          <w:szCs w:val="20"/>
          <w14:ligatures w14:val="none"/>
        </w:rPr>
        <w:t>C8</w:t>
      </w:r>
      <w:r w:rsidRPr="005B3B83">
        <w:rPr>
          <w:rFonts w:ascii="Times" w:eastAsia="Times New Roman" w:hAnsi="Times" w:cs="Times New Roman"/>
          <w:kern w:val="0"/>
          <w:szCs w:val="20"/>
          <w14:ligatures w14:val="none"/>
        </w:rPr>
        <w:t xml:space="preserve">, and </w:t>
      </w:r>
      <w:r w:rsidRPr="005B3B83">
        <w:rPr>
          <w:rFonts w:ascii="Times" w:eastAsia="Times New Roman" w:hAnsi="Times" w:cs="Times New Roman"/>
          <w:b/>
          <w:bCs/>
          <w:kern w:val="0"/>
          <w:szCs w:val="20"/>
          <w14:ligatures w14:val="none"/>
        </w:rPr>
        <w:t>C11</w:t>
      </w:r>
      <w:r w:rsidRPr="005B3B83">
        <w:rPr>
          <w:rFonts w:ascii="Times" w:eastAsia="Times New Roman" w:hAnsi="Times" w:cs="Times New Roman"/>
          <w:kern w:val="0"/>
          <w:szCs w:val="20"/>
          <w14:ligatures w14:val="none"/>
        </w:rPr>
        <w:t xml:space="preserve"> exhibited the most potent anti-tumor effects among these tested complexes. The results from migration ability and live/dead imaging assays, as well as mitochondrial membrane potential (MMP) and clonogenic potential studies, revealed that these complexes demonstrated higher anti-tumor activities by enhancing caspase</w:t>
      </w:r>
      <w:r w:rsidRPr="005B3B83">
        <w:rPr>
          <w:rFonts w:ascii="Times" w:eastAsia="Times New Roman" w:hAnsi="Times" w:cs="Times New Roman" w:hint="eastAsia"/>
          <w:kern w:val="0"/>
          <w:szCs w:val="20"/>
          <w14:ligatures w14:val="none"/>
        </w:rPr>
        <w:t>-3 and reducing B</w:t>
      </w:r>
      <w:r w:rsidRPr="005B3B83">
        <w:rPr>
          <w:rFonts w:ascii="Times" w:eastAsia="Times New Roman" w:hAnsi="Times" w:cs="Times New Roman"/>
          <w:kern w:val="0"/>
          <w:szCs w:val="20"/>
          <w14:ligatures w14:val="none"/>
        </w:rPr>
        <w:t>cl</w:t>
      </w:r>
      <w:r w:rsidRPr="005B3B83">
        <w:rPr>
          <w:rFonts w:ascii="Times" w:eastAsia="Times New Roman" w:hAnsi="Times" w:cs="Times New Roman" w:hint="eastAsia"/>
          <w:kern w:val="0"/>
          <w:szCs w:val="20"/>
          <w14:ligatures w14:val="none"/>
        </w:rPr>
        <w:t>-2 expression</w:t>
      </w:r>
      <w:r w:rsidRPr="005B3B83">
        <w:rPr>
          <w:rFonts w:ascii="Times" w:eastAsia="Times New Roman" w:hAnsi="Times" w:cs="Times New Roman"/>
          <w:kern w:val="0"/>
          <w:szCs w:val="20"/>
          <w14:ligatures w14:val="none"/>
        </w:rPr>
        <w:t xml:space="preserve">. Using the 4T1 breast cancer </w:t>
      </w:r>
      <w:r w:rsidRPr="005B3B83">
        <w:rPr>
          <w:rFonts w:ascii="Times" w:eastAsia="Times New Roman" w:hAnsi="Times" w:cs="Times New Roman" w:hint="eastAsia"/>
          <w:kern w:val="0"/>
          <w:szCs w:val="20"/>
          <w14:ligatures w14:val="none"/>
        </w:rPr>
        <w:t>o</w:t>
      </w:r>
      <w:r w:rsidRPr="005B3B83">
        <w:rPr>
          <w:rFonts w:ascii="Times" w:eastAsia="Times New Roman" w:hAnsi="Times" w:cs="Times New Roman"/>
          <w:kern w:val="0"/>
          <w:szCs w:val="20"/>
          <w14:ligatures w14:val="none"/>
        </w:rPr>
        <w:t xml:space="preserve">rthotopic mouse model, </w:t>
      </w:r>
      <w:r w:rsidRPr="005B3B83">
        <w:rPr>
          <w:rFonts w:ascii="Times" w:eastAsia="Times New Roman" w:hAnsi="Times" w:cs="Times New Roman"/>
          <w:kern w:val="0"/>
          <w:szCs w:val="20"/>
          <w14:ligatures w14:val="none"/>
        </w:rPr>
        <w:lastRenderedPageBreak/>
        <w:t>we evaluated the efficacy of the most prominent complex (</w:t>
      </w:r>
      <w:r w:rsidRPr="005B3B83">
        <w:rPr>
          <w:rFonts w:ascii="Times" w:eastAsia="Times New Roman" w:hAnsi="Times" w:cs="Times New Roman"/>
          <w:b/>
          <w:bCs/>
          <w:kern w:val="0"/>
          <w:szCs w:val="20"/>
          <w14:ligatures w14:val="none"/>
        </w:rPr>
        <w:t>C8</w:t>
      </w:r>
      <w:r w:rsidRPr="005B3B83">
        <w:rPr>
          <w:rFonts w:ascii="Times" w:eastAsia="Times New Roman" w:hAnsi="Times" w:cs="Times New Roman"/>
          <w:kern w:val="0"/>
          <w:szCs w:val="20"/>
          <w14:ligatures w14:val="none"/>
        </w:rPr>
        <w:t>) in 4T1 breast cancer</w:t>
      </w:r>
      <w:r w:rsidRPr="005B3B83">
        <w:rPr>
          <w:rFonts w:ascii="Times" w:eastAsia="Times New Roman" w:hAnsi="Times" w:cs="Times New Roman" w:hint="eastAsia"/>
          <w:kern w:val="0"/>
          <w:szCs w:val="20"/>
          <w14:ligatures w14:val="none"/>
        </w:rPr>
        <w:t xml:space="preserve"> by</w:t>
      </w:r>
      <w:r w:rsidRPr="005B3B83">
        <w:rPr>
          <w:rFonts w:ascii="Times" w:eastAsia="Times New Roman" w:hAnsi="Times" w:cs="Times New Roman"/>
          <w:kern w:val="0"/>
          <w:szCs w:val="20"/>
          <w14:ligatures w14:val="none"/>
        </w:rPr>
        <w:t xml:space="preserve"> bioluminescence metastatic windows, tumor weight and volume, hematoxylin and eosin (H&amp;E) staining, immunohistochemistry (IHC) staining and hematological tests. Protein expression revealed apoptosis by up-regulating Caspase-3, cleaved caspase-3, TNF-α and down-regulating Bcl-2. Lasting survival and diminished tumor growth were observed in mice receiving the </w:t>
      </w:r>
      <w:r w:rsidRPr="005B3B83">
        <w:rPr>
          <w:rFonts w:ascii="Times" w:eastAsia="Times New Roman" w:hAnsi="Times" w:cs="Times New Roman"/>
          <w:b/>
          <w:bCs/>
          <w:kern w:val="0"/>
          <w:szCs w:val="20"/>
          <w14:ligatures w14:val="none"/>
        </w:rPr>
        <w:t>C8</w:t>
      </w:r>
      <w:r w:rsidRPr="005B3B83">
        <w:rPr>
          <w:rFonts w:ascii="Times" w:eastAsia="Times New Roman" w:hAnsi="Times" w:cs="Times New Roman"/>
          <w:kern w:val="0"/>
          <w:szCs w:val="20"/>
          <w14:ligatures w14:val="none"/>
        </w:rPr>
        <w:t xml:space="preserve"> treatment. These findings demonstrated the potential of those water-soluble monofunctional Ru (II) complexes for triple negative breast cancer treatment</w:t>
      </w:r>
      <w:bookmarkEnd w:id="0"/>
      <w:r w:rsidRPr="005B3B83">
        <w:rPr>
          <w:rFonts w:ascii="Times" w:eastAsia="Times New Roman" w:hAnsi="Times" w:cs="Times New Roman"/>
          <w:kern w:val="0"/>
          <w:szCs w:val="20"/>
          <w14:ligatures w14:val="none"/>
        </w:rPr>
        <w:t>.</w:t>
      </w:r>
    </w:p>
    <w:p w14:paraId="08F42718" w14:textId="16A5FB47" w:rsidR="005B3B83" w:rsidRPr="005B3B83" w:rsidRDefault="005B3B83" w:rsidP="005B3B83">
      <w:pPr>
        <w:spacing w:after="0" w:line="480" w:lineRule="auto"/>
        <w:ind w:firstLine="202"/>
        <w:jc w:val="both"/>
        <w:rPr>
          <w:rFonts w:ascii="Times" w:eastAsia="Times New Roman" w:hAnsi="Times" w:cs="Times New Roman"/>
          <w:b/>
          <w:bCs/>
          <w:kern w:val="0"/>
          <w:szCs w:val="20"/>
          <w14:ligatures w14:val="none"/>
        </w:rPr>
      </w:pPr>
      <w:r w:rsidRPr="005B3B83">
        <w:rPr>
          <w:rFonts w:ascii="Times" w:eastAsia="Times New Roman" w:hAnsi="Times" w:cs="Times New Roman"/>
          <w:b/>
          <w:bCs/>
          <w:kern w:val="0"/>
          <w:szCs w:val="20"/>
          <w14:ligatures w14:val="none"/>
        </w:rPr>
        <w:t xml:space="preserve">Keywords: </w:t>
      </w:r>
      <w:r w:rsidRPr="005B3B83">
        <w:rPr>
          <w:rFonts w:ascii="Times" w:eastAsia="Times New Roman" w:hAnsi="Times" w:cs="Times New Roman"/>
          <w:kern w:val="0"/>
          <w:szCs w:val="20"/>
          <w14:ligatures w14:val="none"/>
        </w:rPr>
        <w:t>Ruthenium complexes</w:t>
      </w:r>
      <w:r>
        <w:rPr>
          <w:rFonts w:ascii="Times" w:eastAsia="Times New Roman" w:hAnsi="Times" w:cs="Times New Roman"/>
          <w:kern w:val="0"/>
          <w:szCs w:val="20"/>
          <w14:ligatures w14:val="none"/>
        </w:rPr>
        <w:t xml:space="preserve">, </w:t>
      </w:r>
      <w:r w:rsidRPr="005B3B83">
        <w:rPr>
          <w:rFonts w:ascii="Times" w:eastAsia="Times New Roman" w:hAnsi="Times" w:cs="Times New Roman"/>
          <w:kern w:val="0"/>
          <w:szCs w:val="20"/>
          <w14:ligatures w14:val="none"/>
        </w:rPr>
        <w:t>Breast Cancer</w:t>
      </w:r>
      <w:r>
        <w:rPr>
          <w:rFonts w:ascii="Times" w:eastAsia="Times New Roman" w:hAnsi="Times" w:cs="Times New Roman"/>
          <w:kern w:val="0"/>
          <w:szCs w:val="20"/>
          <w14:ligatures w14:val="none"/>
        </w:rPr>
        <w:t xml:space="preserve">, Nanotechnology, </w:t>
      </w:r>
      <w:r w:rsidRPr="005B3B83">
        <w:rPr>
          <w:rFonts w:ascii="Times" w:eastAsia="Times New Roman" w:hAnsi="Times" w:cs="Times New Roman"/>
          <w:kern w:val="0"/>
          <w:szCs w:val="20"/>
          <w14:ligatures w14:val="none"/>
        </w:rPr>
        <w:t>Apoptosis</w:t>
      </w:r>
    </w:p>
    <w:p w14:paraId="4708E210" w14:textId="77777777" w:rsidR="005B3B83" w:rsidRDefault="005B3B83"/>
    <w:sectPr w:rsidR="005B3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83"/>
    <w:rsid w:val="002B56F2"/>
    <w:rsid w:val="005B3B83"/>
    <w:rsid w:val="00BB1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0D07"/>
  <w15:chartTrackingRefBased/>
  <w15:docId w15:val="{A043D902-F494-42C6-8F52-FC1B1346E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B83"/>
    <w:rPr>
      <w:rFonts w:eastAsiaTheme="majorEastAsia" w:cstheme="majorBidi"/>
      <w:color w:val="272727" w:themeColor="text1" w:themeTint="D8"/>
    </w:rPr>
  </w:style>
  <w:style w:type="paragraph" w:styleId="Title">
    <w:name w:val="Title"/>
    <w:basedOn w:val="Normal"/>
    <w:next w:val="Normal"/>
    <w:link w:val="TitleChar"/>
    <w:uiPriority w:val="10"/>
    <w:qFormat/>
    <w:rsid w:val="005B3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B83"/>
    <w:pPr>
      <w:spacing w:before="160"/>
      <w:jc w:val="center"/>
    </w:pPr>
    <w:rPr>
      <w:i/>
      <w:iCs/>
      <w:color w:val="404040" w:themeColor="text1" w:themeTint="BF"/>
    </w:rPr>
  </w:style>
  <w:style w:type="character" w:customStyle="1" w:styleId="QuoteChar">
    <w:name w:val="Quote Char"/>
    <w:basedOn w:val="DefaultParagraphFont"/>
    <w:link w:val="Quote"/>
    <w:uiPriority w:val="29"/>
    <w:rsid w:val="005B3B83"/>
    <w:rPr>
      <w:i/>
      <w:iCs/>
      <w:color w:val="404040" w:themeColor="text1" w:themeTint="BF"/>
    </w:rPr>
  </w:style>
  <w:style w:type="paragraph" w:styleId="ListParagraph">
    <w:name w:val="List Paragraph"/>
    <w:basedOn w:val="Normal"/>
    <w:uiPriority w:val="34"/>
    <w:qFormat/>
    <w:rsid w:val="005B3B83"/>
    <w:pPr>
      <w:ind w:left="720"/>
      <w:contextualSpacing/>
    </w:pPr>
  </w:style>
  <w:style w:type="character" w:styleId="IntenseEmphasis">
    <w:name w:val="Intense Emphasis"/>
    <w:basedOn w:val="DefaultParagraphFont"/>
    <w:uiPriority w:val="21"/>
    <w:qFormat/>
    <w:rsid w:val="005B3B83"/>
    <w:rPr>
      <w:i/>
      <w:iCs/>
      <w:color w:val="0F4761" w:themeColor="accent1" w:themeShade="BF"/>
    </w:rPr>
  </w:style>
  <w:style w:type="paragraph" w:styleId="IntenseQuote">
    <w:name w:val="Intense Quote"/>
    <w:basedOn w:val="Normal"/>
    <w:next w:val="Normal"/>
    <w:link w:val="IntenseQuoteChar"/>
    <w:uiPriority w:val="30"/>
    <w:qFormat/>
    <w:rsid w:val="005B3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B83"/>
    <w:rPr>
      <w:i/>
      <w:iCs/>
      <w:color w:val="0F4761" w:themeColor="accent1" w:themeShade="BF"/>
    </w:rPr>
  </w:style>
  <w:style w:type="character" w:styleId="IntenseReference">
    <w:name w:val="Intense Reference"/>
    <w:basedOn w:val="DefaultParagraphFont"/>
    <w:uiPriority w:val="32"/>
    <w:qFormat/>
    <w:rsid w:val="005B3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337</Words>
  <Characters>1927</Characters>
  <Application>Microsoft Office Word</Application>
  <DocSecurity>0</DocSecurity>
  <Lines>16</Lines>
  <Paragraphs>4</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Shahid Ullah Khan</dc:creator>
  <cp:keywords/>
  <dc:description/>
  <cp:lastModifiedBy>Dr. Shahid Ullah Khan</cp:lastModifiedBy>
  <cp:revision>2</cp:revision>
  <dcterms:created xsi:type="dcterms:W3CDTF">2025-08-20T07:01:00Z</dcterms:created>
  <dcterms:modified xsi:type="dcterms:W3CDTF">2025-08-21T11:59:00Z</dcterms:modified>
</cp:coreProperties>
</file>