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3EA" w:rsidRDefault="008363EA" w:rsidP="008363EA">
      <w:pPr>
        <w:spacing w:before="400" w:after="200"/>
        <w:jc w:val="center"/>
        <w:rPr>
          <w:color w:val="000000"/>
          <w:lang w:val="en-US"/>
        </w:rPr>
      </w:pPr>
      <w:r>
        <w:rPr>
          <w:rFonts w:ascii="Cambria" w:hAnsi="Cambria"/>
          <w:b/>
          <w:bCs/>
          <w:color w:val="212121"/>
          <w:sz w:val="28"/>
          <w:szCs w:val="28"/>
          <w:lang w:val="en-US"/>
        </w:rPr>
        <w:t>Introduction to Stem Cell and its Activity</w:t>
      </w:r>
    </w:p>
    <w:p w:rsidR="008363EA" w:rsidRDefault="008363EA" w:rsidP="008363EA">
      <w:pPr>
        <w:spacing w:before="400" w:after="200"/>
        <w:jc w:val="center"/>
        <w:rPr>
          <w:color w:val="000000"/>
          <w:lang w:val="en-US"/>
        </w:rPr>
      </w:pPr>
      <w:r>
        <w:rPr>
          <w:rFonts w:ascii="Cambria" w:hAnsi="Cambria"/>
          <w:b/>
          <w:bCs/>
          <w:color w:val="212121"/>
          <w:lang w:val="en-US"/>
        </w:rPr>
        <w:t> </w:t>
      </w:r>
      <w:proofErr w:type="gramStart"/>
      <w:r>
        <w:rPr>
          <w:rFonts w:ascii="Cambria" w:hAnsi="Cambria"/>
          <w:b/>
          <w:bCs/>
          <w:color w:val="212121"/>
          <w:lang w:val="en-US"/>
        </w:rPr>
        <w:t>Author  :-</w:t>
      </w:r>
      <w:proofErr w:type="gramEnd"/>
      <w:r>
        <w:rPr>
          <w:rFonts w:ascii="Cambria" w:hAnsi="Cambria"/>
          <w:b/>
          <w:bCs/>
          <w:color w:val="212121"/>
          <w:lang w:val="en-US"/>
        </w:rPr>
        <w:t xml:space="preserve"> Dr. Sudha Bansode,</w:t>
      </w:r>
    </w:p>
    <w:p w:rsidR="008363EA" w:rsidRDefault="008363EA" w:rsidP="008363EA">
      <w:pPr>
        <w:spacing w:before="400" w:after="200"/>
        <w:jc w:val="center"/>
        <w:rPr>
          <w:color w:val="000000"/>
          <w:lang w:val="en-US"/>
        </w:rPr>
      </w:pPr>
      <w:r>
        <w:rPr>
          <w:rFonts w:ascii="Cambria" w:hAnsi="Cambria"/>
          <w:b/>
          <w:bCs/>
          <w:color w:val="212121"/>
          <w:lang w:val="en-US"/>
        </w:rPr>
        <w:t xml:space="preserve">Prof &amp; </w:t>
      </w:r>
      <w:proofErr w:type="spellStart"/>
      <w:r>
        <w:rPr>
          <w:rFonts w:ascii="Cambria" w:hAnsi="Cambria"/>
          <w:b/>
          <w:bCs/>
          <w:color w:val="212121"/>
          <w:lang w:val="en-US"/>
        </w:rPr>
        <w:t>Head</w:t>
      </w:r>
      <w:proofErr w:type="gramStart"/>
      <w:r>
        <w:rPr>
          <w:rFonts w:ascii="Cambria" w:hAnsi="Cambria"/>
          <w:b/>
          <w:bCs/>
          <w:color w:val="212121"/>
          <w:lang w:val="en-US"/>
        </w:rPr>
        <w:t>,Department</w:t>
      </w:r>
      <w:proofErr w:type="spellEnd"/>
      <w:proofErr w:type="gramEnd"/>
      <w:r>
        <w:rPr>
          <w:rFonts w:ascii="Cambria" w:hAnsi="Cambria"/>
          <w:b/>
          <w:bCs/>
          <w:color w:val="212121"/>
          <w:lang w:val="en-US"/>
        </w:rPr>
        <w:t xml:space="preserve"> of Zoology</w:t>
      </w:r>
    </w:p>
    <w:p w:rsidR="008363EA" w:rsidRDefault="008363EA" w:rsidP="008363EA">
      <w:pPr>
        <w:spacing w:before="400" w:after="200"/>
        <w:jc w:val="center"/>
        <w:rPr>
          <w:color w:val="000000"/>
          <w:lang w:val="en-US"/>
        </w:rPr>
      </w:pPr>
      <w:r>
        <w:rPr>
          <w:rFonts w:ascii="Cambria" w:hAnsi="Cambria"/>
          <w:b/>
          <w:bCs/>
          <w:color w:val="212121"/>
          <w:lang w:val="en-US"/>
        </w:rPr>
        <w:t xml:space="preserve">Shankarrao </w:t>
      </w:r>
      <w:proofErr w:type="spellStart"/>
      <w:r>
        <w:rPr>
          <w:rFonts w:ascii="Cambria" w:hAnsi="Cambria"/>
          <w:b/>
          <w:bCs/>
          <w:color w:val="212121"/>
          <w:lang w:val="en-US"/>
        </w:rPr>
        <w:t>Mohite</w:t>
      </w:r>
      <w:proofErr w:type="spellEnd"/>
      <w:r>
        <w:rPr>
          <w:rFonts w:ascii="Cambria" w:hAnsi="Cambria"/>
          <w:b/>
          <w:bCs/>
          <w:color w:val="212121"/>
          <w:lang w:val="en-US"/>
        </w:rPr>
        <w:t xml:space="preserve"> </w:t>
      </w:r>
      <w:proofErr w:type="spellStart"/>
      <w:r>
        <w:rPr>
          <w:rFonts w:ascii="Cambria" w:hAnsi="Cambria"/>
          <w:b/>
          <w:bCs/>
          <w:color w:val="212121"/>
          <w:lang w:val="en-US"/>
        </w:rPr>
        <w:t>Mahavidyalaya</w:t>
      </w:r>
      <w:proofErr w:type="spellEnd"/>
      <w:r>
        <w:rPr>
          <w:rFonts w:ascii="Cambria" w:hAnsi="Cambria"/>
          <w:b/>
          <w:bCs/>
          <w:color w:val="212121"/>
          <w:lang w:val="en-US"/>
        </w:rPr>
        <w:t xml:space="preserve">, </w:t>
      </w:r>
      <w:proofErr w:type="spellStart"/>
      <w:r>
        <w:rPr>
          <w:rFonts w:ascii="Cambria" w:hAnsi="Cambria"/>
          <w:b/>
          <w:bCs/>
          <w:color w:val="212121"/>
          <w:lang w:val="en-US"/>
        </w:rPr>
        <w:t>Akluj</w:t>
      </w:r>
      <w:proofErr w:type="spellEnd"/>
    </w:p>
    <w:p w:rsidR="008363EA" w:rsidRDefault="008363EA" w:rsidP="008363EA">
      <w:pPr>
        <w:spacing w:before="400" w:after="200"/>
        <w:rPr>
          <w:color w:val="000000"/>
          <w:lang w:val="en-US"/>
        </w:rPr>
      </w:pPr>
      <w:r>
        <w:rPr>
          <w:rFonts w:ascii="Cambria" w:hAnsi="Cambria"/>
          <w:b/>
          <w:bCs/>
          <w:color w:val="212121"/>
          <w:lang w:val="en-US"/>
        </w:rPr>
        <w:t>Abstract</w:t>
      </w:r>
    </w:p>
    <w:p w:rsidR="008363EA" w:rsidRDefault="008363EA" w:rsidP="008363EA">
      <w:pPr>
        <w:spacing w:before="400" w:after="200"/>
        <w:jc w:val="both"/>
        <w:rPr>
          <w:color w:val="000000"/>
          <w:lang w:val="en-US"/>
        </w:rPr>
      </w:pPr>
      <w:r>
        <w:rPr>
          <w:rFonts w:ascii="Cambria" w:hAnsi="Cambria"/>
          <w:b/>
          <w:bCs/>
          <w:color w:val="212121"/>
          <w:lang w:val="en-US"/>
        </w:rPr>
        <w:t>             </w:t>
      </w:r>
      <w:r>
        <w:rPr>
          <w:rFonts w:ascii="Cambria" w:hAnsi="Cambria"/>
          <w:color w:val="212121"/>
          <w:lang w:val="en-US"/>
        </w:rPr>
        <w:t>The general designation, “stem cell” encompasses many d</w:t>
      </w:r>
      <w:r>
        <w:rPr>
          <w:rFonts w:ascii="Cambria" w:hAnsi="Cambria"/>
          <w:color w:val="212121"/>
          <w:lang w:val="en-US"/>
        </w:rPr>
        <w:t>istinct cell types. Commonly</w:t>
      </w:r>
      <w:proofErr w:type="gramStart"/>
      <w:r>
        <w:rPr>
          <w:rFonts w:ascii="Cambria" w:hAnsi="Cambria"/>
          <w:color w:val="212121"/>
          <w:lang w:val="en-US"/>
        </w:rPr>
        <w:t xml:space="preserve">,  </w:t>
      </w:r>
      <w:r>
        <w:rPr>
          <w:rFonts w:ascii="Cambria" w:hAnsi="Cambria"/>
          <w:color w:val="212121"/>
          <w:lang w:val="en-US"/>
        </w:rPr>
        <w:t>the</w:t>
      </w:r>
      <w:proofErr w:type="gramEnd"/>
      <w:r>
        <w:rPr>
          <w:rFonts w:ascii="Cambria" w:hAnsi="Cambria"/>
          <w:color w:val="212121"/>
          <w:lang w:val="en-US"/>
        </w:rPr>
        <w:t xml:space="preserve"> modifiers, “embryonic,” and “adult” are used to distinguish stem cells by the developmental stage of the animal from which they come, but these terms are becoming insufficient as new research has discovered how to turn fully differentiated adult cells back into embryonic stem cells and, conversely, adult stem cells, more correctly termed “somatic” stem cells meaning categories based on their biologic properties - pluripotent stem cells and multipotent stem cells. Their sources, characteristics, differentiation and therapeutic applications are discussed.</w:t>
      </w:r>
    </w:p>
    <w:p w:rsidR="008363EA" w:rsidRDefault="008363EA" w:rsidP="008363EA">
      <w:pPr>
        <w:spacing w:after="200"/>
        <w:jc w:val="both"/>
        <w:rPr>
          <w:color w:val="000000"/>
          <w:lang w:val="en-US"/>
        </w:rPr>
      </w:pPr>
      <w:r>
        <w:rPr>
          <w:rFonts w:ascii="Cambria" w:hAnsi="Cambria"/>
          <w:color w:val="212121"/>
          <w:lang w:val="en-US"/>
        </w:rPr>
        <w:t>From the body</w:t>
      </w:r>
      <w:bookmarkStart w:id="0" w:name="_GoBack"/>
      <w:bookmarkEnd w:id="0"/>
      <w:r>
        <w:rPr>
          <w:rFonts w:ascii="Cambria" w:hAnsi="Cambria"/>
          <w:color w:val="212121"/>
          <w:lang w:val="en-US"/>
        </w:rPr>
        <w:t>, are found in the fetus, placenta, umbilical cord blood and infants.</w:t>
      </w:r>
      <w:hyperlink r:id="rId5" w:anchor="R2" w:tgtFrame="_blank" w:history="1">
        <w:r>
          <w:rPr>
            <w:rStyle w:val="Hyperlink"/>
            <w:rFonts w:ascii="Cambria" w:hAnsi="Cambria"/>
            <w:color w:val="376FAA"/>
            <w:vertAlign w:val="superscript"/>
            <w:lang w:val="en-US"/>
          </w:rPr>
          <w:t>2</w:t>
        </w:r>
      </w:hyperlink>
      <w:r>
        <w:rPr>
          <w:rFonts w:ascii="Cambria" w:hAnsi="Cambria"/>
          <w:color w:val="212121"/>
          <w:lang w:val="en-US"/>
        </w:rPr>
        <w:t xml:space="preserve"> Therefore, this review will sort stem cells into two Stem cells have the ability to differentiate into specific cell types. The two defining characteristics of a stem cell are perpetual self-renewal and the ability to differentiate into a specialized adult cell type. There are two major classes of stem cells: pluripotent that can become any cell in the adult body, and multipotent </w:t>
      </w:r>
      <w:proofErr w:type="gramStart"/>
      <w:r>
        <w:rPr>
          <w:rFonts w:ascii="Cambria" w:hAnsi="Cambria"/>
          <w:color w:val="212121"/>
          <w:lang w:val="en-US"/>
        </w:rPr>
        <w:t>that are</w:t>
      </w:r>
      <w:proofErr w:type="gramEnd"/>
      <w:r>
        <w:rPr>
          <w:rFonts w:ascii="Cambria" w:hAnsi="Cambria"/>
          <w:color w:val="212121"/>
          <w:lang w:val="en-US"/>
        </w:rPr>
        <w:t xml:space="preserve"> restricted to becoming a more limited population of cells. Cell sources, characteristics, differentiation and therapeutic applications are discussed. Stem cells have great potential in tissue regeneration and repair but much still needs to be learned about their biology, manipulation and safety before their full therapeutic potential can be achieved.</w:t>
      </w:r>
    </w:p>
    <w:p w:rsidR="008363EA" w:rsidRDefault="008363EA" w:rsidP="008363EA">
      <w:pPr>
        <w:spacing w:before="400" w:after="400"/>
        <w:jc w:val="both"/>
        <w:rPr>
          <w:color w:val="000000"/>
          <w:lang w:val="en-US"/>
        </w:rPr>
      </w:pPr>
      <w:r>
        <w:rPr>
          <w:rFonts w:ascii="Cambria" w:hAnsi="Cambria"/>
          <w:color w:val="212121"/>
          <w:lang w:val="en-US"/>
        </w:rPr>
        <w:t xml:space="preserve">Stem cells have the ability to build every tissue in the human body, hence have great potential for future therapeutic uses in tissue regeneration and repair. In order for cells to fall under the definition of “stem cells,” they must display two essential characteristics. First, stem cells must </w:t>
      </w:r>
      <w:proofErr w:type="gramStart"/>
      <w:r>
        <w:rPr>
          <w:rFonts w:ascii="Cambria" w:hAnsi="Cambria"/>
          <w:color w:val="212121"/>
          <w:lang w:val="en-US"/>
        </w:rPr>
        <w:t>have</w:t>
      </w:r>
      <w:proofErr w:type="gramEnd"/>
      <w:r>
        <w:rPr>
          <w:rFonts w:ascii="Cambria" w:hAnsi="Cambria"/>
          <w:color w:val="212121"/>
          <w:lang w:val="en-US"/>
        </w:rPr>
        <w:t xml:space="preserve"> the ability of unlimited self-renewal to produce progeny exactly the same as the originating cell. This trait is also true of cancer cells that divide in an uncontrolled manner whereas stem cell division is highly regulated. Therefore, it is important to note the additional requirement for stem cells; they must be able to give rise to a specialized cell type that becomes part of the healthy animal</w:t>
      </w:r>
    </w:p>
    <w:p w:rsidR="008363EA" w:rsidRDefault="008363EA" w:rsidP="008363EA">
      <w:pPr>
        <w:spacing w:before="400" w:after="400"/>
        <w:jc w:val="both"/>
        <w:rPr>
          <w:color w:val="000000"/>
          <w:lang w:val="en-US"/>
        </w:rPr>
      </w:pPr>
      <w:proofErr w:type="spellStart"/>
      <w:proofErr w:type="gramStart"/>
      <w:r>
        <w:rPr>
          <w:rFonts w:ascii="Cambria" w:hAnsi="Cambria"/>
          <w:color w:val="212121"/>
          <w:lang w:val="en-US"/>
        </w:rPr>
        <w:t>Keywards</w:t>
      </w:r>
      <w:proofErr w:type="spellEnd"/>
      <w:r>
        <w:rPr>
          <w:rFonts w:ascii="Cambria" w:hAnsi="Cambria"/>
          <w:color w:val="212121"/>
          <w:lang w:val="en-US"/>
        </w:rPr>
        <w:t xml:space="preserve"> :-</w:t>
      </w:r>
      <w:proofErr w:type="gramEnd"/>
      <w:r>
        <w:rPr>
          <w:rFonts w:ascii="Cambria" w:hAnsi="Cambria"/>
          <w:color w:val="212121"/>
          <w:lang w:val="en-US"/>
        </w:rPr>
        <w:t xml:space="preserve"> Stem cell/ </w:t>
      </w:r>
      <w:proofErr w:type="spellStart"/>
      <w:r>
        <w:rPr>
          <w:rFonts w:ascii="Cambria" w:hAnsi="Cambria"/>
          <w:color w:val="212121"/>
          <w:lang w:val="en-US"/>
        </w:rPr>
        <w:t>pleuropotent</w:t>
      </w:r>
      <w:proofErr w:type="spellEnd"/>
      <w:r>
        <w:rPr>
          <w:rFonts w:ascii="Cambria" w:hAnsi="Cambria"/>
          <w:color w:val="212121"/>
          <w:lang w:val="en-US"/>
        </w:rPr>
        <w:t xml:space="preserve"> / Embryonic / cytology of cell</w:t>
      </w:r>
      <w:r>
        <w:rPr>
          <w:rFonts w:ascii="Cambria" w:hAnsi="Cambria"/>
          <w:color w:val="376FAA"/>
          <w:u w:val="single"/>
          <w:vertAlign w:val="superscript"/>
          <w:lang w:val="en-US"/>
        </w:rPr>
        <w:t>1</w:t>
      </w:r>
    </w:p>
    <w:p w:rsidR="00B74220" w:rsidRDefault="008363EA"/>
    <w:sectPr w:rsidR="00B742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3EA"/>
    <w:rsid w:val="008363EA"/>
    <w:rsid w:val="00D35FE2"/>
    <w:rsid w:val="00F70C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3EA"/>
    <w:pPr>
      <w:spacing w:after="0" w:line="240" w:lineRule="auto"/>
    </w:pPr>
    <w:rPr>
      <w:rFonts w:ascii="Calibri" w:hAnsi="Calibri" w:cs="Calibri"/>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63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3EA"/>
    <w:pPr>
      <w:spacing w:after="0" w:line="240" w:lineRule="auto"/>
    </w:pPr>
    <w:rPr>
      <w:rFonts w:ascii="Calibri" w:hAnsi="Calibri" w:cs="Calibri"/>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63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80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cbi.nlm.nih.gov/pmc/articles/PMC410480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2023-09-04T04:55:00Z</dcterms:created>
  <dcterms:modified xsi:type="dcterms:W3CDTF">2023-09-04T04:56:00Z</dcterms:modified>
</cp:coreProperties>
</file>