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4E646" w14:textId="0A859382" w:rsidR="00D159E5" w:rsidRDefault="00313064" w:rsidP="00313064">
      <w:pPr>
        <w:jc w:val="center"/>
        <w:rPr>
          <w:b/>
          <w:bCs/>
          <w:sz w:val="24"/>
          <w:szCs w:val="24"/>
        </w:rPr>
      </w:pPr>
      <w:r w:rsidRPr="00313064">
        <w:rPr>
          <w:b/>
          <w:bCs/>
          <w:sz w:val="24"/>
          <w:szCs w:val="24"/>
        </w:rPr>
        <w:t>Autologous bone marrow derived cells with core decompression as treatment option for avascular necrosis of the femoral head.</w:t>
      </w:r>
    </w:p>
    <w:p w14:paraId="16BDB88F" w14:textId="1E5D19AE" w:rsidR="00313064" w:rsidRDefault="00313064" w:rsidP="00313064">
      <w:pPr>
        <w:rPr>
          <w:sz w:val="24"/>
          <w:szCs w:val="24"/>
          <w:vertAlign w:val="superscript"/>
        </w:rPr>
      </w:pPr>
      <w:proofErr w:type="spellStart"/>
      <w:r>
        <w:rPr>
          <w:sz w:val="24"/>
          <w:szCs w:val="24"/>
        </w:rPr>
        <w:t>AbulMajeed</w:t>
      </w:r>
      <w:proofErr w:type="spellEnd"/>
      <w:r>
        <w:rPr>
          <w:sz w:val="24"/>
          <w:szCs w:val="24"/>
        </w:rPr>
        <w:t xml:space="preserve"> A.,  H.,</w:t>
      </w:r>
      <w:r>
        <w:rPr>
          <w:sz w:val="24"/>
          <w:szCs w:val="24"/>
          <w:vertAlign w:val="superscript"/>
        </w:rPr>
        <w:t>(1)</w:t>
      </w:r>
      <w:r>
        <w:rPr>
          <w:sz w:val="24"/>
          <w:szCs w:val="24"/>
        </w:rPr>
        <w:t xml:space="preserve"> Basel, M., T., A.,</w:t>
      </w:r>
      <w:r>
        <w:rPr>
          <w:sz w:val="24"/>
          <w:szCs w:val="24"/>
          <w:vertAlign w:val="superscript"/>
        </w:rPr>
        <w:t>(2)</w:t>
      </w:r>
      <w:r>
        <w:rPr>
          <w:sz w:val="24"/>
          <w:szCs w:val="24"/>
        </w:rPr>
        <w:t xml:space="preserve"> </w:t>
      </w:r>
      <w:proofErr w:type="spellStart"/>
      <w:r>
        <w:rPr>
          <w:sz w:val="24"/>
          <w:szCs w:val="24"/>
        </w:rPr>
        <w:t>Iadam</w:t>
      </w:r>
      <w:proofErr w:type="spellEnd"/>
      <w:r>
        <w:rPr>
          <w:sz w:val="24"/>
          <w:szCs w:val="24"/>
        </w:rPr>
        <w:t>, A., A.,</w:t>
      </w:r>
      <w:r>
        <w:rPr>
          <w:sz w:val="24"/>
          <w:szCs w:val="24"/>
          <w:vertAlign w:val="superscript"/>
        </w:rPr>
        <w:t>(3)</w:t>
      </w:r>
      <w:r>
        <w:rPr>
          <w:sz w:val="24"/>
          <w:szCs w:val="24"/>
        </w:rPr>
        <w:t xml:space="preserve"> Abeer, A., S.,</w:t>
      </w:r>
      <w:r>
        <w:rPr>
          <w:sz w:val="24"/>
          <w:szCs w:val="24"/>
          <w:vertAlign w:val="superscript"/>
        </w:rPr>
        <w:t>(4)</w:t>
      </w:r>
      <w:r>
        <w:rPr>
          <w:sz w:val="24"/>
          <w:szCs w:val="24"/>
        </w:rPr>
        <w:t xml:space="preserve"> Hazem., S.</w:t>
      </w:r>
      <w:r>
        <w:rPr>
          <w:sz w:val="24"/>
          <w:szCs w:val="24"/>
          <w:vertAlign w:val="superscript"/>
        </w:rPr>
        <w:t>(5)</w:t>
      </w:r>
    </w:p>
    <w:p w14:paraId="77CC2B74" w14:textId="2F22E29D" w:rsidR="00313064" w:rsidRDefault="00313064" w:rsidP="00313064">
      <w:pPr>
        <w:rPr>
          <w:sz w:val="24"/>
          <w:szCs w:val="24"/>
        </w:rPr>
      </w:pPr>
      <w:r>
        <w:rPr>
          <w:sz w:val="24"/>
          <w:szCs w:val="24"/>
          <w:vertAlign w:val="superscript"/>
        </w:rPr>
        <w:t>(1)</w:t>
      </w:r>
      <w:r>
        <w:rPr>
          <w:sz w:val="24"/>
          <w:szCs w:val="24"/>
        </w:rPr>
        <w:t xml:space="preserve">Medicine Department, </w:t>
      </w:r>
      <w:proofErr w:type="spellStart"/>
      <w:r>
        <w:rPr>
          <w:sz w:val="24"/>
          <w:szCs w:val="24"/>
        </w:rPr>
        <w:t>Alyermouk</w:t>
      </w:r>
      <w:proofErr w:type="spellEnd"/>
      <w:r>
        <w:rPr>
          <w:sz w:val="24"/>
          <w:szCs w:val="24"/>
        </w:rPr>
        <w:t xml:space="preserve"> Hospital, Baghdad, </w:t>
      </w:r>
      <w:proofErr w:type="spellStart"/>
      <w:r>
        <w:rPr>
          <w:sz w:val="24"/>
          <w:szCs w:val="24"/>
        </w:rPr>
        <w:t>Iraqu</w:t>
      </w:r>
      <w:proofErr w:type="spellEnd"/>
      <w:r>
        <w:rPr>
          <w:sz w:val="24"/>
          <w:szCs w:val="24"/>
        </w:rPr>
        <w:t>,</w:t>
      </w:r>
    </w:p>
    <w:p w14:paraId="3ED73591" w14:textId="2F1C24DB" w:rsidR="00313064" w:rsidRDefault="00313064" w:rsidP="00313064">
      <w:pPr>
        <w:rPr>
          <w:sz w:val="24"/>
          <w:szCs w:val="24"/>
        </w:rPr>
      </w:pPr>
      <w:r>
        <w:rPr>
          <w:sz w:val="24"/>
          <w:szCs w:val="24"/>
          <w:vertAlign w:val="superscript"/>
        </w:rPr>
        <w:t>(2)</w:t>
      </w:r>
      <w:proofErr w:type="spellStart"/>
      <w:r>
        <w:rPr>
          <w:sz w:val="24"/>
          <w:szCs w:val="24"/>
        </w:rPr>
        <w:t>Aldawaik</w:t>
      </w:r>
      <w:proofErr w:type="spellEnd"/>
      <w:r>
        <w:rPr>
          <w:sz w:val="24"/>
          <w:szCs w:val="24"/>
        </w:rPr>
        <w:t xml:space="preserve"> Clinic, Amman, Jordan, </w:t>
      </w:r>
    </w:p>
    <w:p w14:paraId="61F81B45" w14:textId="586E7674" w:rsidR="00313064" w:rsidRDefault="00313064" w:rsidP="00313064">
      <w:pPr>
        <w:rPr>
          <w:sz w:val="24"/>
          <w:szCs w:val="24"/>
        </w:rPr>
      </w:pPr>
      <w:r>
        <w:rPr>
          <w:sz w:val="24"/>
          <w:szCs w:val="24"/>
          <w:vertAlign w:val="superscript"/>
        </w:rPr>
        <w:t>(3)</w:t>
      </w:r>
      <w:proofErr w:type="spellStart"/>
      <w:r>
        <w:rPr>
          <w:sz w:val="24"/>
          <w:szCs w:val="24"/>
        </w:rPr>
        <w:t>Intergrative</w:t>
      </w:r>
      <w:proofErr w:type="spellEnd"/>
      <w:r>
        <w:rPr>
          <w:sz w:val="24"/>
          <w:szCs w:val="24"/>
        </w:rPr>
        <w:t xml:space="preserve"> Medicine Cluster, Advanced Medical and Dental Institute</w:t>
      </w:r>
      <w:r w:rsidR="00691EC5">
        <w:rPr>
          <w:sz w:val="24"/>
          <w:szCs w:val="24"/>
        </w:rPr>
        <w:t xml:space="preserve">, University </w:t>
      </w:r>
      <w:proofErr w:type="spellStart"/>
      <w:r w:rsidR="00691EC5">
        <w:rPr>
          <w:sz w:val="24"/>
          <w:szCs w:val="24"/>
        </w:rPr>
        <w:t>Sains</w:t>
      </w:r>
      <w:proofErr w:type="spellEnd"/>
      <w:r w:rsidR="00691EC5">
        <w:rPr>
          <w:sz w:val="24"/>
          <w:szCs w:val="24"/>
        </w:rPr>
        <w:t xml:space="preserve"> Malaysia, </w:t>
      </w:r>
      <w:proofErr w:type="spellStart"/>
      <w:r w:rsidR="00691EC5">
        <w:rPr>
          <w:sz w:val="24"/>
          <w:szCs w:val="24"/>
        </w:rPr>
        <w:t>Penan</w:t>
      </w:r>
      <w:proofErr w:type="spellEnd"/>
      <w:r w:rsidR="00691EC5">
        <w:rPr>
          <w:sz w:val="24"/>
          <w:szCs w:val="24"/>
        </w:rPr>
        <w:t>, Malaysia,</w:t>
      </w:r>
    </w:p>
    <w:p w14:paraId="7977B074" w14:textId="78F91414" w:rsidR="00691EC5" w:rsidRDefault="00691EC5" w:rsidP="00313064">
      <w:pPr>
        <w:rPr>
          <w:sz w:val="24"/>
          <w:szCs w:val="24"/>
        </w:rPr>
      </w:pPr>
      <w:r>
        <w:rPr>
          <w:sz w:val="24"/>
          <w:szCs w:val="24"/>
          <w:vertAlign w:val="superscript"/>
        </w:rPr>
        <w:t xml:space="preserve">(4,5) </w:t>
      </w:r>
      <w:r>
        <w:rPr>
          <w:sz w:val="24"/>
          <w:szCs w:val="24"/>
        </w:rPr>
        <w:t>Department of Anesthesia, ICU and Pain Medicine, ElMenufiya University, Egypt.</w:t>
      </w:r>
    </w:p>
    <w:p w14:paraId="1734D159" w14:textId="35CEC4A9" w:rsidR="00691EC5" w:rsidRDefault="00691EC5" w:rsidP="00313064">
      <w:pPr>
        <w:rPr>
          <w:b/>
          <w:bCs/>
          <w:sz w:val="24"/>
          <w:szCs w:val="24"/>
        </w:rPr>
      </w:pPr>
      <w:r w:rsidRPr="00691EC5">
        <w:rPr>
          <w:b/>
          <w:bCs/>
          <w:sz w:val="24"/>
          <w:szCs w:val="24"/>
        </w:rPr>
        <w:t>Background:</w:t>
      </w:r>
    </w:p>
    <w:p w14:paraId="317EEE8E" w14:textId="5763CA17" w:rsidR="0084354A" w:rsidRDefault="00691EC5" w:rsidP="00261053">
      <w:pPr>
        <w:jc w:val="both"/>
        <w:rPr>
          <w:rFonts w:cstheme="minorHAnsi"/>
          <w:sz w:val="24"/>
          <w:szCs w:val="24"/>
        </w:rPr>
      </w:pPr>
      <w:r>
        <w:rPr>
          <w:sz w:val="24"/>
          <w:szCs w:val="24"/>
        </w:rPr>
        <w:t xml:space="preserve">Meanwhile Osteonecrosis of the femoral head (ONFH) considered to be one of the most disabling disease with undefined pathogenesis that presented with sever hip pain and dysfunction in young population, the result of total hip replacement </w:t>
      </w:r>
      <w:r w:rsidR="00633D2F">
        <w:rPr>
          <w:sz w:val="24"/>
          <w:szCs w:val="24"/>
        </w:rPr>
        <w:t xml:space="preserve">(THR) </w:t>
      </w:r>
      <w:r>
        <w:rPr>
          <w:sz w:val="24"/>
          <w:szCs w:val="24"/>
        </w:rPr>
        <w:t xml:space="preserve">as a reliable management plane has unfavorable outcomes specially in such active population.  With the introduction of biotechnology, there is emerging role </w:t>
      </w:r>
      <w:r w:rsidR="00633D2F">
        <w:rPr>
          <w:sz w:val="24"/>
          <w:szCs w:val="24"/>
        </w:rPr>
        <w:t xml:space="preserve">of stem cells as an </w:t>
      </w:r>
      <w:proofErr w:type="spellStart"/>
      <w:r w:rsidR="00633D2F">
        <w:rPr>
          <w:sz w:val="24"/>
          <w:szCs w:val="24"/>
        </w:rPr>
        <w:t>evoluting</w:t>
      </w:r>
      <w:proofErr w:type="spellEnd"/>
      <w:r w:rsidR="00633D2F">
        <w:rPr>
          <w:sz w:val="24"/>
          <w:szCs w:val="24"/>
        </w:rPr>
        <w:t xml:space="preserve"> management plane especially with the ability of this cell to differentiate into osteoblasts and endothelial cells to support bone osteogenesis with promotion of blood supply in the necrotic tissue. We try to evaluate the visibility of the implanted concentrated bone marrow rich in mesenchymal cells (MSCs) in conjunction with core decompression as a treatment option for ONHF to prevent or delay THR. </w:t>
      </w:r>
      <w:r w:rsidR="00633D2F" w:rsidRPr="00633D2F">
        <w:rPr>
          <w:b/>
          <w:bCs/>
          <w:sz w:val="24"/>
          <w:szCs w:val="24"/>
        </w:rPr>
        <w:t>Methods:</w:t>
      </w:r>
      <w:r w:rsidR="00633D2F">
        <w:rPr>
          <w:b/>
          <w:bCs/>
          <w:sz w:val="24"/>
          <w:szCs w:val="24"/>
        </w:rPr>
        <w:t xml:space="preserve"> </w:t>
      </w:r>
      <w:r w:rsidR="00565CAD">
        <w:rPr>
          <w:sz w:val="24"/>
          <w:szCs w:val="24"/>
        </w:rPr>
        <w:t xml:space="preserve">40 patients were recruited </w:t>
      </w:r>
      <w:r w:rsidR="00547E00">
        <w:rPr>
          <w:sz w:val="24"/>
          <w:szCs w:val="24"/>
        </w:rPr>
        <w:t>from October 2017 till February 2019</w:t>
      </w:r>
      <w:r w:rsidR="0001177C">
        <w:rPr>
          <w:sz w:val="24"/>
          <w:szCs w:val="24"/>
        </w:rPr>
        <w:t xml:space="preserve"> in a single center, prospective, non-controlled clinical study</w:t>
      </w:r>
      <w:r w:rsidR="00494076">
        <w:rPr>
          <w:sz w:val="24"/>
          <w:szCs w:val="24"/>
        </w:rPr>
        <w:t xml:space="preserve"> </w:t>
      </w:r>
      <w:r w:rsidR="00C0717D">
        <w:rPr>
          <w:sz w:val="24"/>
          <w:szCs w:val="24"/>
        </w:rPr>
        <w:t xml:space="preserve">to assess visibility of autologous </w:t>
      </w:r>
      <w:r w:rsidR="00F0725D">
        <w:rPr>
          <w:sz w:val="24"/>
          <w:szCs w:val="24"/>
        </w:rPr>
        <w:t xml:space="preserve">hematopoietic bone marrow concentrate transplantation and core decompression </w:t>
      </w:r>
      <w:r w:rsidR="00345C7F">
        <w:rPr>
          <w:sz w:val="24"/>
          <w:szCs w:val="24"/>
        </w:rPr>
        <w:t>on patients with diagnosis of non-</w:t>
      </w:r>
      <w:r w:rsidR="00C94ED3">
        <w:rPr>
          <w:sz w:val="24"/>
          <w:szCs w:val="24"/>
        </w:rPr>
        <w:t>traumatic</w:t>
      </w:r>
      <w:r w:rsidR="00345C7F">
        <w:rPr>
          <w:sz w:val="24"/>
          <w:szCs w:val="24"/>
        </w:rPr>
        <w:t xml:space="preserve"> </w:t>
      </w:r>
      <w:r w:rsidR="00C94ED3">
        <w:rPr>
          <w:sz w:val="24"/>
          <w:szCs w:val="24"/>
        </w:rPr>
        <w:t>ANFH.</w:t>
      </w:r>
      <w:r w:rsidR="00E45454">
        <w:rPr>
          <w:sz w:val="24"/>
          <w:szCs w:val="24"/>
        </w:rPr>
        <w:t xml:space="preserve"> End point was </w:t>
      </w:r>
      <w:r w:rsidR="00166C90">
        <w:rPr>
          <w:sz w:val="24"/>
          <w:szCs w:val="24"/>
        </w:rPr>
        <w:t xml:space="preserve">defined as progression to </w:t>
      </w:r>
      <w:proofErr w:type="spellStart"/>
      <w:r w:rsidR="00166C90">
        <w:rPr>
          <w:sz w:val="24"/>
          <w:szCs w:val="24"/>
        </w:rPr>
        <w:t>Ficat</w:t>
      </w:r>
      <w:proofErr w:type="spellEnd"/>
      <w:r w:rsidR="00166C90">
        <w:rPr>
          <w:sz w:val="24"/>
          <w:szCs w:val="24"/>
        </w:rPr>
        <w:t xml:space="preserve"> stage </w:t>
      </w:r>
      <w:r w:rsidR="00C005AC">
        <w:rPr>
          <w:rFonts w:cstheme="minorHAnsi"/>
          <w:sz w:val="24"/>
          <w:szCs w:val="24"/>
        </w:rPr>
        <w:t>ı</w:t>
      </w:r>
      <w:r w:rsidR="009E475A">
        <w:rPr>
          <w:rFonts w:cstheme="minorHAnsi"/>
          <w:sz w:val="24"/>
          <w:szCs w:val="24"/>
        </w:rPr>
        <w:t>v</w:t>
      </w:r>
      <w:r w:rsidR="00C005AC">
        <w:rPr>
          <w:rFonts w:cstheme="minorHAnsi"/>
          <w:sz w:val="24"/>
          <w:szCs w:val="24"/>
        </w:rPr>
        <w:t xml:space="preserve"> </w:t>
      </w:r>
      <w:r w:rsidR="005E6AEE">
        <w:rPr>
          <w:rFonts w:cstheme="minorHAnsi"/>
          <w:sz w:val="24"/>
          <w:szCs w:val="24"/>
        </w:rPr>
        <w:t>or conversion to hip arthroplasty.</w:t>
      </w:r>
      <w:r w:rsidR="00192DAF">
        <w:rPr>
          <w:rFonts w:cstheme="minorHAnsi"/>
          <w:sz w:val="24"/>
          <w:szCs w:val="24"/>
        </w:rPr>
        <w:t xml:space="preserve"> </w:t>
      </w:r>
      <w:r w:rsidR="00233CAC">
        <w:rPr>
          <w:rFonts w:cstheme="minorHAnsi"/>
          <w:sz w:val="24"/>
          <w:szCs w:val="24"/>
        </w:rPr>
        <w:t xml:space="preserve">Patient underwent follow up for </w:t>
      </w:r>
      <w:r w:rsidR="00657B20">
        <w:rPr>
          <w:rFonts w:cstheme="minorHAnsi"/>
          <w:sz w:val="24"/>
          <w:szCs w:val="24"/>
        </w:rPr>
        <w:t xml:space="preserve">1, 6, 12 and 24 month where following parameters were assessed, </w:t>
      </w:r>
      <w:r w:rsidR="00383A50">
        <w:rPr>
          <w:rFonts w:cstheme="minorHAnsi"/>
          <w:sz w:val="24"/>
          <w:szCs w:val="24"/>
        </w:rPr>
        <w:t xml:space="preserve">patient demographics, Harris Hip Score, </w:t>
      </w:r>
      <w:r w:rsidR="00D85893">
        <w:rPr>
          <w:rFonts w:cstheme="minorHAnsi"/>
          <w:sz w:val="24"/>
          <w:szCs w:val="24"/>
        </w:rPr>
        <w:t>Visual analog scale (VAS) score</w:t>
      </w:r>
      <w:r w:rsidR="00087CB7">
        <w:rPr>
          <w:rFonts w:cstheme="minorHAnsi"/>
          <w:sz w:val="24"/>
          <w:szCs w:val="24"/>
        </w:rPr>
        <w:t>, We</w:t>
      </w:r>
      <w:r w:rsidR="00C33CD4">
        <w:rPr>
          <w:rFonts w:cstheme="minorHAnsi"/>
          <w:sz w:val="24"/>
          <w:szCs w:val="24"/>
        </w:rPr>
        <w:t>s</w:t>
      </w:r>
      <w:r w:rsidR="00087CB7">
        <w:rPr>
          <w:rFonts w:cstheme="minorHAnsi"/>
          <w:sz w:val="24"/>
          <w:szCs w:val="24"/>
        </w:rPr>
        <w:t xml:space="preserve">tern Ontario and </w:t>
      </w:r>
      <w:r w:rsidR="00C33CD4">
        <w:rPr>
          <w:rFonts w:cstheme="minorHAnsi"/>
          <w:sz w:val="24"/>
          <w:szCs w:val="24"/>
        </w:rPr>
        <w:t>McMaster</w:t>
      </w:r>
      <w:r w:rsidR="00087CB7">
        <w:rPr>
          <w:rFonts w:cstheme="minorHAnsi"/>
          <w:sz w:val="24"/>
          <w:szCs w:val="24"/>
        </w:rPr>
        <w:t xml:space="preserve"> </w:t>
      </w:r>
      <w:r w:rsidR="00C33CD4">
        <w:rPr>
          <w:rFonts w:cstheme="minorHAnsi"/>
          <w:sz w:val="24"/>
          <w:szCs w:val="24"/>
        </w:rPr>
        <w:t>universities</w:t>
      </w:r>
      <w:r w:rsidR="00087CB7">
        <w:rPr>
          <w:rFonts w:cstheme="minorHAnsi"/>
          <w:sz w:val="24"/>
          <w:szCs w:val="24"/>
        </w:rPr>
        <w:t xml:space="preserve"> </w:t>
      </w:r>
      <w:r w:rsidR="00BB6124">
        <w:rPr>
          <w:rFonts w:cstheme="minorHAnsi"/>
          <w:sz w:val="24"/>
          <w:szCs w:val="24"/>
        </w:rPr>
        <w:t xml:space="preserve"> (WOMAC) score, volume of postoperative necrosis, </w:t>
      </w:r>
      <w:proofErr w:type="spellStart"/>
      <w:r w:rsidR="00805E3F">
        <w:rPr>
          <w:rFonts w:cstheme="minorHAnsi"/>
          <w:sz w:val="24"/>
          <w:szCs w:val="24"/>
        </w:rPr>
        <w:t>Arlet</w:t>
      </w:r>
      <w:proofErr w:type="spellEnd"/>
      <w:r w:rsidR="00805E3F">
        <w:rPr>
          <w:rFonts w:cstheme="minorHAnsi"/>
          <w:sz w:val="24"/>
          <w:szCs w:val="24"/>
        </w:rPr>
        <w:t xml:space="preserve"> </w:t>
      </w:r>
      <w:proofErr w:type="spellStart"/>
      <w:r w:rsidR="00C33CD4">
        <w:rPr>
          <w:rFonts w:cstheme="minorHAnsi"/>
          <w:sz w:val="24"/>
          <w:szCs w:val="24"/>
        </w:rPr>
        <w:t>Ficat</w:t>
      </w:r>
      <w:proofErr w:type="spellEnd"/>
      <w:r w:rsidR="00C33CD4">
        <w:rPr>
          <w:rFonts w:cstheme="minorHAnsi"/>
          <w:sz w:val="24"/>
          <w:szCs w:val="24"/>
        </w:rPr>
        <w:t xml:space="preserve"> scale, images (X-Ray and MRI) and incidence of adverse outcomes.</w:t>
      </w:r>
      <w:r w:rsidR="001B501F">
        <w:rPr>
          <w:rFonts w:cstheme="minorHAnsi"/>
          <w:sz w:val="24"/>
          <w:szCs w:val="24"/>
        </w:rPr>
        <w:t xml:space="preserve"> </w:t>
      </w:r>
      <w:r w:rsidR="001B501F" w:rsidRPr="001B501F">
        <w:rPr>
          <w:rFonts w:cstheme="minorHAnsi"/>
          <w:b/>
          <w:bCs/>
          <w:sz w:val="24"/>
          <w:szCs w:val="24"/>
        </w:rPr>
        <w:t>Results:</w:t>
      </w:r>
      <w:r w:rsidR="001B501F">
        <w:rPr>
          <w:rFonts w:cstheme="minorHAnsi"/>
          <w:b/>
          <w:bCs/>
          <w:sz w:val="24"/>
          <w:szCs w:val="24"/>
        </w:rPr>
        <w:t xml:space="preserve"> </w:t>
      </w:r>
      <w:r w:rsidR="00025603">
        <w:rPr>
          <w:rFonts w:cstheme="minorHAnsi"/>
          <w:sz w:val="24"/>
          <w:szCs w:val="24"/>
        </w:rPr>
        <w:t xml:space="preserve">A total of 40 patients with </w:t>
      </w:r>
      <w:r w:rsidR="00C9666B">
        <w:rPr>
          <w:rFonts w:cstheme="minorHAnsi"/>
          <w:sz w:val="24"/>
          <w:szCs w:val="24"/>
        </w:rPr>
        <w:t>52 hips were included</w:t>
      </w:r>
      <w:r w:rsidR="00AF74B7">
        <w:rPr>
          <w:rFonts w:cstheme="minorHAnsi"/>
          <w:sz w:val="24"/>
          <w:szCs w:val="24"/>
        </w:rPr>
        <w:t xml:space="preserve"> and followed u</w:t>
      </w:r>
      <w:r w:rsidR="00733567">
        <w:rPr>
          <w:rFonts w:cstheme="minorHAnsi"/>
          <w:sz w:val="24"/>
          <w:szCs w:val="24"/>
        </w:rPr>
        <w:t>p</w:t>
      </w:r>
      <w:r w:rsidR="00AF74B7">
        <w:rPr>
          <w:rFonts w:cstheme="minorHAnsi"/>
          <w:sz w:val="24"/>
          <w:szCs w:val="24"/>
        </w:rPr>
        <w:t xml:space="preserve"> for 2 years</w:t>
      </w:r>
      <w:r w:rsidR="00C9666B">
        <w:rPr>
          <w:rFonts w:cstheme="minorHAnsi"/>
          <w:sz w:val="24"/>
          <w:szCs w:val="24"/>
        </w:rPr>
        <w:t xml:space="preserve">, </w:t>
      </w:r>
      <w:r w:rsidR="00B41907">
        <w:rPr>
          <w:rFonts w:cstheme="minorHAnsi"/>
          <w:sz w:val="24"/>
          <w:szCs w:val="24"/>
        </w:rPr>
        <w:t xml:space="preserve">with age ranged from 25 – </w:t>
      </w:r>
      <w:r w:rsidR="006D44DE">
        <w:rPr>
          <w:rFonts w:cstheme="minorHAnsi"/>
          <w:sz w:val="24"/>
          <w:szCs w:val="24"/>
        </w:rPr>
        <w:t>5</w:t>
      </w:r>
      <w:r w:rsidR="00B41907">
        <w:rPr>
          <w:rFonts w:cstheme="minorHAnsi"/>
          <w:sz w:val="24"/>
          <w:szCs w:val="24"/>
        </w:rPr>
        <w:t>7 years</w:t>
      </w:r>
      <w:r w:rsidR="00FC1275">
        <w:rPr>
          <w:rFonts w:cstheme="minorHAnsi"/>
          <w:sz w:val="24"/>
          <w:szCs w:val="24"/>
        </w:rPr>
        <w:t>,</w:t>
      </w:r>
      <w:r w:rsidR="00E75BF6">
        <w:rPr>
          <w:rFonts w:cstheme="minorHAnsi"/>
          <w:sz w:val="24"/>
          <w:szCs w:val="24"/>
        </w:rPr>
        <w:t xml:space="preserve"> 25 patient were male and the </w:t>
      </w:r>
      <w:r w:rsidR="00E84630">
        <w:rPr>
          <w:rFonts w:cstheme="minorHAnsi"/>
          <w:sz w:val="24"/>
          <w:szCs w:val="24"/>
        </w:rPr>
        <w:t>remaining</w:t>
      </w:r>
      <w:r w:rsidR="00E75BF6">
        <w:rPr>
          <w:rFonts w:cstheme="minorHAnsi"/>
          <w:sz w:val="24"/>
          <w:szCs w:val="24"/>
        </w:rPr>
        <w:t xml:space="preserve"> were </w:t>
      </w:r>
      <w:r w:rsidR="00E84630">
        <w:rPr>
          <w:rFonts w:cstheme="minorHAnsi"/>
          <w:sz w:val="24"/>
          <w:szCs w:val="24"/>
        </w:rPr>
        <w:t>females</w:t>
      </w:r>
      <w:r w:rsidR="00E75BF6">
        <w:rPr>
          <w:rFonts w:cstheme="minorHAnsi"/>
          <w:sz w:val="24"/>
          <w:szCs w:val="24"/>
        </w:rPr>
        <w:t xml:space="preserve">. </w:t>
      </w:r>
      <w:r w:rsidR="00F66006">
        <w:rPr>
          <w:rFonts w:cstheme="minorHAnsi"/>
          <w:sz w:val="24"/>
          <w:szCs w:val="24"/>
        </w:rPr>
        <w:t xml:space="preserve">Mean VAS and WOMAC scores were significantly improved after </w:t>
      </w:r>
      <w:r w:rsidR="00E84630">
        <w:rPr>
          <w:rFonts w:cstheme="minorHAnsi"/>
          <w:sz w:val="24"/>
          <w:szCs w:val="24"/>
        </w:rPr>
        <w:t>transplantation</w:t>
      </w:r>
      <w:r w:rsidR="00F66006">
        <w:rPr>
          <w:rFonts w:cstheme="minorHAnsi"/>
          <w:sz w:val="24"/>
          <w:szCs w:val="24"/>
        </w:rPr>
        <w:t xml:space="preserve"> which was conf</w:t>
      </w:r>
      <w:r w:rsidR="00E84630">
        <w:rPr>
          <w:rFonts w:cstheme="minorHAnsi"/>
          <w:sz w:val="24"/>
          <w:szCs w:val="24"/>
        </w:rPr>
        <w:t>irmed with X-Ray and MRI results.</w:t>
      </w:r>
      <w:r w:rsidR="00A62886">
        <w:rPr>
          <w:rFonts w:cstheme="minorHAnsi"/>
          <w:sz w:val="24"/>
          <w:szCs w:val="24"/>
        </w:rPr>
        <w:t xml:space="preserve"> </w:t>
      </w:r>
      <w:r w:rsidR="00A62886" w:rsidRPr="00A62886">
        <w:rPr>
          <w:rFonts w:cstheme="minorHAnsi"/>
          <w:b/>
          <w:bCs/>
          <w:sz w:val="24"/>
          <w:szCs w:val="24"/>
        </w:rPr>
        <w:t>Conclusion:</w:t>
      </w:r>
      <w:r w:rsidR="00A62886">
        <w:rPr>
          <w:rFonts w:cstheme="minorHAnsi"/>
          <w:b/>
          <w:bCs/>
          <w:sz w:val="24"/>
          <w:szCs w:val="24"/>
        </w:rPr>
        <w:t xml:space="preserve"> </w:t>
      </w:r>
      <w:r w:rsidR="00E61E6D">
        <w:rPr>
          <w:rFonts w:cstheme="minorHAnsi"/>
          <w:sz w:val="24"/>
          <w:szCs w:val="24"/>
        </w:rPr>
        <w:t xml:space="preserve">The infusion of concentrated bone marrow rich with </w:t>
      </w:r>
      <w:r w:rsidR="00EE3D91">
        <w:rPr>
          <w:rFonts w:cstheme="minorHAnsi"/>
          <w:sz w:val="24"/>
          <w:szCs w:val="24"/>
        </w:rPr>
        <w:t xml:space="preserve">MSCs cells combined with surgical decompression </w:t>
      </w:r>
      <w:r w:rsidR="00DE7A74">
        <w:rPr>
          <w:rFonts w:cstheme="minorHAnsi"/>
          <w:sz w:val="24"/>
          <w:szCs w:val="24"/>
        </w:rPr>
        <w:t xml:space="preserve">is a feasible management plan </w:t>
      </w:r>
      <w:r w:rsidR="00310A25">
        <w:rPr>
          <w:rFonts w:cstheme="minorHAnsi"/>
          <w:sz w:val="24"/>
          <w:szCs w:val="24"/>
        </w:rPr>
        <w:t xml:space="preserve">with demonstrated improvement of hip function </w:t>
      </w:r>
      <w:r w:rsidR="00D24520">
        <w:rPr>
          <w:rFonts w:cstheme="minorHAnsi"/>
          <w:sz w:val="24"/>
          <w:szCs w:val="24"/>
        </w:rPr>
        <w:t xml:space="preserve">and remarkable avoidance </w:t>
      </w:r>
      <w:r w:rsidR="00CC3BB9">
        <w:rPr>
          <w:rFonts w:cstheme="minorHAnsi"/>
          <w:sz w:val="24"/>
          <w:szCs w:val="24"/>
        </w:rPr>
        <w:t xml:space="preserve">or </w:t>
      </w:r>
      <w:r w:rsidR="00D24520">
        <w:rPr>
          <w:rFonts w:cstheme="minorHAnsi"/>
          <w:sz w:val="24"/>
          <w:szCs w:val="24"/>
        </w:rPr>
        <w:t xml:space="preserve">delay in THR </w:t>
      </w:r>
      <w:r w:rsidR="0084354A">
        <w:rPr>
          <w:rFonts w:cstheme="minorHAnsi"/>
          <w:sz w:val="24"/>
          <w:szCs w:val="24"/>
        </w:rPr>
        <w:t>in patients with ANFH.</w:t>
      </w:r>
    </w:p>
    <w:p w14:paraId="42BCC2D8" w14:textId="55926596" w:rsidR="00691EC5" w:rsidRDefault="001E3DD2" w:rsidP="00261053">
      <w:pPr>
        <w:jc w:val="both"/>
        <w:rPr>
          <w:rFonts w:cstheme="minorHAnsi"/>
          <w:b/>
          <w:bCs/>
          <w:sz w:val="24"/>
          <w:szCs w:val="24"/>
        </w:rPr>
      </w:pPr>
      <w:r w:rsidRPr="001E3DD2">
        <w:rPr>
          <w:rFonts w:cstheme="minorHAnsi"/>
          <w:b/>
          <w:bCs/>
          <w:sz w:val="24"/>
          <w:szCs w:val="24"/>
        </w:rPr>
        <w:t>Keywords:</w:t>
      </w:r>
      <w:r>
        <w:rPr>
          <w:rFonts w:cstheme="minorHAnsi"/>
          <w:b/>
          <w:bCs/>
          <w:sz w:val="24"/>
          <w:szCs w:val="24"/>
        </w:rPr>
        <w:t xml:space="preserve"> </w:t>
      </w:r>
      <w:r>
        <w:rPr>
          <w:rFonts w:cstheme="minorHAnsi"/>
          <w:sz w:val="24"/>
          <w:szCs w:val="24"/>
        </w:rPr>
        <w:t xml:space="preserve">Avascular necrosis of the head of the </w:t>
      </w:r>
      <w:r w:rsidR="00261053">
        <w:rPr>
          <w:rFonts w:cstheme="minorHAnsi"/>
          <w:sz w:val="24"/>
          <w:szCs w:val="24"/>
        </w:rPr>
        <w:t>femur, Bone marrow derived cells, Cell therapy, Hip.</w:t>
      </w:r>
      <w:r w:rsidR="00A62886" w:rsidRPr="001E3DD2">
        <w:rPr>
          <w:rFonts w:cstheme="minorHAnsi"/>
          <w:b/>
          <w:bCs/>
          <w:sz w:val="24"/>
          <w:szCs w:val="24"/>
        </w:rPr>
        <w:t xml:space="preserve"> </w:t>
      </w:r>
    </w:p>
    <w:p w14:paraId="5F06D8D7" w14:textId="169A4A90" w:rsidR="006A0F91" w:rsidRPr="006A0F91" w:rsidRDefault="006A0F91" w:rsidP="006A0F91">
      <w:pPr>
        <w:widowControl w:val="0"/>
        <w:adjustRightInd w:val="0"/>
        <w:snapToGrid w:val="0"/>
        <w:spacing w:before="120" w:line="240" w:lineRule="exact"/>
        <w:rPr>
          <w:rFonts w:ascii="Times New Roman" w:eastAsia="Times New Roman" w:hAnsi="Times New Roman" w:cs="Times New Roman"/>
          <w:b/>
          <w:sz w:val="28"/>
          <w:szCs w:val="28"/>
          <w:rtl/>
          <w:lang w:eastAsia="zh-CN" w:bidi="ar-IQ"/>
          <w14:ligatures w14:val="none"/>
        </w:rPr>
      </w:pPr>
      <w:proofErr w:type="spellStart"/>
      <w:r>
        <w:rPr>
          <w:rFonts w:ascii="Times New Roman" w:eastAsia="Times New Roman" w:hAnsi="Times New Roman" w:cs="Times New Roman"/>
          <w:b/>
          <w:sz w:val="28"/>
          <w:szCs w:val="28"/>
          <w:lang w:eastAsia="zh-CN" w:bidi="ar-IQ"/>
          <w14:ligatures w14:val="none"/>
        </w:rPr>
        <w:t>Refere</w:t>
      </w:r>
      <w:r w:rsidRPr="006A0F91">
        <w:rPr>
          <w:rFonts w:ascii="Times New Roman" w:eastAsia="Times New Roman" w:hAnsi="Times New Roman" w:cs="Times New Roman"/>
          <w:b/>
          <w:sz w:val="28"/>
          <w:szCs w:val="28"/>
          <w:lang w:eastAsia="zh-CN" w:bidi="ar-IQ"/>
          <w14:ligatures w14:val="none"/>
        </w:rPr>
        <w:t>ces</w:t>
      </w:r>
      <w:proofErr w:type="spellEnd"/>
      <w:r>
        <w:rPr>
          <w:rFonts w:ascii="Times New Roman" w:eastAsia="Times New Roman" w:hAnsi="Times New Roman" w:cs="Times New Roman"/>
          <w:b/>
          <w:sz w:val="28"/>
          <w:szCs w:val="28"/>
          <w:lang w:eastAsia="zh-CN" w:bidi="ar-IQ"/>
          <w14:ligatures w14:val="none"/>
        </w:rPr>
        <w:t>:</w:t>
      </w:r>
    </w:p>
    <w:p w14:paraId="24B989B9" w14:textId="77777777" w:rsidR="006A0F91" w:rsidRPr="006A0F91" w:rsidRDefault="006A0F91" w:rsidP="006A0F91">
      <w:pPr>
        <w:widowControl w:val="0"/>
        <w:numPr>
          <w:ilvl w:val="0"/>
          <w:numId w:val="1"/>
        </w:numPr>
        <w:adjustRightInd w:val="0"/>
        <w:snapToGrid w:val="0"/>
        <w:spacing w:line="200" w:lineRule="exact"/>
        <w:jc w:val="both"/>
        <w:rPr>
          <w:rFonts w:ascii="Times New Roman" w:eastAsia="Times New Roman" w:hAnsi="Times New Roman" w:cs="Times New Roman"/>
          <w:sz w:val="18"/>
          <w:szCs w:val="18"/>
          <w:rtl/>
          <w:lang w:eastAsia="zh-CN" w:bidi="ar-IQ"/>
          <w14:ligatures w14:val="none"/>
        </w:rPr>
      </w:pPr>
      <w:proofErr w:type="spellStart"/>
      <w:r w:rsidRPr="006A0F91">
        <w:rPr>
          <w:rFonts w:ascii="Times New Roman" w:eastAsia="Times New Roman" w:hAnsi="Times New Roman" w:cs="Times New Roman"/>
          <w:sz w:val="18"/>
          <w:szCs w:val="18"/>
          <w:lang w:eastAsia="zh-CN" w:bidi="ar-IQ"/>
          <w14:ligatures w14:val="none"/>
        </w:rPr>
        <w:t>Houdek</w:t>
      </w:r>
      <w:proofErr w:type="spellEnd"/>
      <w:r w:rsidRPr="006A0F91">
        <w:rPr>
          <w:rFonts w:ascii="Times New Roman" w:eastAsia="Times New Roman" w:hAnsi="Times New Roman" w:cs="Times New Roman"/>
          <w:sz w:val="18"/>
          <w:szCs w:val="18"/>
          <w:lang w:eastAsia="zh-CN" w:bidi="ar-IQ"/>
          <w14:ligatures w14:val="none"/>
        </w:rPr>
        <w:t xml:space="preserve"> MT, Wyles CC, Martin JR, Sierra RJ. Stem cell treatment for avascular necrosis of the femoral head: current perspectives. Stem cells and cloning: advances and applications. 2014;7:65.</w:t>
      </w:r>
    </w:p>
    <w:p w14:paraId="7CE53AF8" w14:textId="77777777" w:rsidR="006A0F91" w:rsidRPr="006A0F91" w:rsidRDefault="006A0F91" w:rsidP="006A0F91">
      <w:pPr>
        <w:widowControl w:val="0"/>
        <w:numPr>
          <w:ilvl w:val="0"/>
          <w:numId w:val="1"/>
        </w:numPr>
        <w:adjustRightInd w:val="0"/>
        <w:snapToGrid w:val="0"/>
        <w:spacing w:line="200" w:lineRule="exact"/>
        <w:jc w:val="both"/>
        <w:rPr>
          <w:rFonts w:ascii="Times New Roman" w:eastAsia="Times New Roman" w:hAnsi="Times New Roman" w:cs="Times New Roman"/>
          <w:sz w:val="18"/>
          <w:szCs w:val="18"/>
          <w:rtl/>
          <w:lang w:eastAsia="zh-CN" w:bidi="ar-IQ"/>
          <w14:ligatures w14:val="none"/>
        </w:rPr>
      </w:pPr>
      <w:proofErr w:type="spellStart"/>
      <w:r w:rsidRPr="006A0F91">
        <w:rPr>
          <w:rFonts w:ascii="Times New Roman" w:eastAsia="Times New Roman" w:hAnsi="Times New Roman" w:cs="Times New Roman"/>
          <w:sz w:val="18"/>
          <w:szCs w:val="18"/>
          <w:lang w:eastAsia="zh-CN" w:bidi="ar-IQ"/>
          <w14:ligatures w14:val="none"/>
        </w:rPr>
        <w:t>Lavernia</w:t>
      </w:r>
      <w:proofErr w:type="spellEnd"/>
      <w:r w:rsidRPr="006A0F91">
        <w:rPr>
          <w:rFonts w:ascii="Times New Roman" w:eastAsia="Times New Roman" w:hAnsi="Times New Roman" w:cs="Times New Roman"/>
          <w:sz w:val="18"/>
          <w:szCs w:val="18"/>
          <w:lang w:eastAsia="zh-CN" w:bidi="ar-IQ"/>
          <w14:ligatures w14:val="none"/>
        </w:rPr>
        <w:t xml:space="preserve"> CJ, Sierra RJ, </w:t>
      </w:r>
      <w:proofErr w:type="spellStart"/>
      <w:r w:rsidRPr="006A0F91">
        <w:rPr>
          <w:rFonts w:ascii="Times New Roman" w:eastAsia="Times New Roman" w:hAnsi="Times New Roman" w:cs="Times New Roman"/>
          <w:sz w:val="18"/>
          <w:szCs w:val="18"/>
          <w:lang w:eastAsia="zh-CN" w:bidi="ar-IQ"/>
          <w14:ligatures w14:val="none"/>
        </w:rPr>
        <w:t>Grieco</w:t>
      </w:r>
      <w:proofErr w:type="spellEnd"/>
      <w:r w:rsidRPr="006A0F91">
        <w:rPr>
          <w:rFonts w:ascii="Times New Roman" w:eastAsia="Times New Roman" w:hAnsi="Times New Roman" w:cs="Times New Roman"/>
          <w:sz w:val="18"/>
          <w:szCs w:val="18"/>
          <w:lang w:eastAsia="zh-CN" w:bidi="ar-IQ"/>
          <w14:ligatures w14:val="none"/>
        </w:rPr>
        <w:t xml:space="preserve"> FR. Osteonecrosis of the femoral head. J Am </w:t>
      </w:r>
      <w:proofErr w:type="spellStart"/>
      <w:r w:rsidRPr="006A0F91">
        <w:rPr>
          <w:rFonts w:ascii="Times New Roman" w:eastAsia="Times New Roman" w:hAnsi="Times New Roman" w:cs="Times New Roman"/>
          <w:sz w:val="18"/>
          <w:szCs w:val="18"/>
          <w:lang w:eastAsia="zh-CN" w:bidi="ar-IQ"/>
          <w14:ligatures w14:val="none"/>
        </w:rPr>
        <w:t>Acad</w:t>
      </w:r>
      <w:proofErr w:type="spellEnd"/>
      <w:r w:rsidRPr="006A0F91">
        <w:rPr>
          <w:rFonts w:ascii="Times New Roman" w:eastAsia="Times New Roman" w:hAnsi="Times New Roman" w:cs="Times New Roman"/>
          <w:sz w:val="18"/>
          <w:szCs w:val="18"/>
          <w:lang w:eastAsia="zh-CN" w:bidi="ar-IQ"/>
          <w14:ligatures w14:val="none"/>
        </w:rPr>
        <w:t xml:space="preserve"> </w:t>
      </w:r>
      <w:proofErr w:type="spellStart"/>
      <w:r w:rsidRPr="006A0F91">
        <w:rPr>
          <w:rFonts w:ascii="Times New Roman" w:eastAsia="Times New Roman" w:hAnsi="Times New Roman" w:cs="Times New Roman"/>
          <w:sz w:val="18"/>
          <w:szCs w:val="18"/>
          <w:lang w:eastAsia="zh-CN" w:bidi="ar-IQ"/>
          <w14:ligatures w14:val="none"/>
        </w:rPr>
        <w:t>Orthop</w:t>
      </w:r>
      <w:proofErr w:type="spellEnd"/>
      <w:r w:rsidRPr="006A0F91">
        <w:rPr>
          <w:rFonts w:ascii="Times New Roman" w:eastAsia="Times New Roman" w:hAnsi="Times New Roman" w:cs="Times New Roman"/>
          <w:sz w:val="18"/>
          <w:szCs w:val="18"/>
          <w:lang w:eastAsia="zh-CN" w:bidi="ar-IQ"/>
          <w14:ligatures w14:val="none"/>
        </w:rPr>
        <w:t xml:space="preserve"> </w:t>
      </w:r>
      <w:proofErr w:type="spellStart"/>
      <w:r w:rsidRPr="006A0F91">
        <w:rPr>
          <w:rFonts w:ascii="Times New Roman" w:eastAsia="Times New Roman" w:hAnsi="Times New Roman" w:cs="Times New Roman"/>
          <w:sz w:val="18"/>
          <w:szCs w:val="18"/>
          <w:lang w:eastAsia="zh-CN" w:bidi="ar-IQ"/>
          <w14:ligatures w14:val="none"/>
        </w:rPr>
        <w:t>Surg</w:t>
      </w:r>
      <w:proofErr w:type="spellEnd"/>
      <w:r w:rsidRPr="006A0F91">
        <w:rPr>
          <w:rFonts w:ascii="Times New Roman" w:eastAsia="Times New Roman" w:hAnsi="Times New Roman" w:cs="Times New Roman"/>
          <w:sz w:val="18"/>
          <w:szCs w:val="18"/>
          <w:lang w:eastAsia="zh-CN" w:bidi="ar-IQ"/>
          <w14:ligatures w14:val="none"/>
        </w:rPr>
        <w:t>. 1999; 7:250–261.</w:t>
      </w:r>
    </w:p>
    <w:p w14:paraId="01144837" w14:textId="77777777" w:rsidR="006A0F91" w:rsidRDefault="006A0F91" w:rsidP="006A0F91">
      <w:pPr>
        <w:widowControl w:val="0"/>
        <w:numPr>
          <w:ilvl w:val="0"/>
          <w:numId w:val="1"/>
        </w:numPr>
        <w:adjustRightInd w:val="0"/>
        <w:snapToGrid w:val="0"/>
        <w:spacing w:line="200" w:lineRule="exact"/>
        <w:jc w:val="both"/>
        <w:rPr>
          <w:rFonts w:ascii="Times New Roman" w:eastAsia="Times New Roman" w:hAnsi="Times New Roman" w:cs="Times New Roman"/>
          <w:sz w:val="18"/>
          <w:szCs w:val="18"/>
          <w:lang w:eastAsia="zh-CN" w:bidi="ar-IQ"/>
          <w14:ligatures w14:val="none"/>
        </w:rPr>
      </w:pPr>
      <w:proofErr w:type="spellStart"/>
      <w:r w:rsidRPr="006A0F91">
        <w:rPr>
          <w:rFonts w:ascii="Times New Roman" w:eastAsia="Times New Roman" w:hAnsi="Times New Roman" w:cs="Times New Roman"/>
          <w:sz w:val="18"/>
          <w:szCs w:val="18"/>
          <w:lang w:eastAsia="zh-CN" w:bidi="ar-IQ"/>
          <w14:ligatures w14:val="none"/>
        </w:rPr>
        <w:lastRenderedPageBreak/>
        <w:t>Steinberg</w:t>
      </w:r>
      <w:proofErr w:type="spellEnd"/>
      <w:r w:rsidRPr="006A0F91">
        <w:rPr>
          <w:rFonts w:ascii="Times New Roman" w:eastAsia="Times New Roman" w:hAnsi="Times New Roman" w:cs="Times New Roman"/>
          <w:sz w:val="18"/>
          <w:szCs w:val="18"/>
          <w:lang w:eastAsia="zh-CN" w:bidi="ar-IQ"/>
          <w14:ligatures w14:val="none"/>
        </w:rPr>
        <w:t xml:space="preserve"> ME, </w:t>
      </w:r>
      <w:proofErr w:type="spellStart"/>
      <w:r w:rsidRPr="006A0F91">
        <w:rPr>
          <w:rFonts w:ascii="Times New Roman" w:eastAsia="Times New Roman" w:hAnsi="Times New Roman" w:cs="Times New Roman"/>
          <w:sz w:val="18"/>
          <w:szCs w:val="18"/>
          <w:lang w:eastAsia="zh-CN" w:bidi="ar-IQ"/>
          <w14:ligatures w14:val="none"/>
        </w:rPr>
        <w:t>Hayken</w:t>
      </w:r>
      <w:proofErr w:type="spellEnd"/>
      <w:r w:rsidRPr="006A0F91">
        <w:rPr>
          <w:rFonts w:ascii="Times New Roman" w:eastAsia="Times New Roman" w:hAnsi="Times New Roman" w:cs="Times New Roman"/>
          <w:sz w:val="18"/>
          <w:szCs w:val="18"/>
          <w:lang w:eastAsia="zh-CN" w:bidi="ar-IQ"/>
          <w14:ligatures w14:val="none"/>
        </w:rPr>
        <w:t xml:space="preserve"> GD, </w:t>
      </w:r>
      <w:proofErr w:type="spellStart"/>
      <w:r w:rsidRPr="006A0F91">
        <w:rPr>
          <w:rFonts w:ascii="Times New Roman" w:eastAsia="Times New Roman" w:hAnsi="Times New Roman" w:cs="Times New Roman"/>
          <w:sz w:val="18"/>
          <w:szCs w:val="18"/>
          <w:lang w:eastAsia="zh-CN" w:bidi="ar-IQ"/>
          <w14:ligatures w14:val="none"/>
        </w:rPr>
        <w:t>Steinberg</w:t>
      </w:r>
      <w:proofErr w:type="spellEnd"/>
      <w:r w:rsidRPr="006A0F91">
        <w:rPr>
          <w:rFonts w:ascii="Times New Roman" w:eastAsia="Times New Roman" w:hAnsi="Times New Roman" w:cs="Times New Roman"/>
          <w:sz w:val="18"/>
          <w:szCs w:val="18"/>
          <w:lang w:eastAsia="zh-CN" w:bidi="ar-IQ"/>
          <w14:ligatures w14:val="none"/>
        </w:rPr>
        <w:t xml:space="preserve"> DR. A quantitative system for staging avascular necrosis. J Bone Joint </w:t>
      </w:r>
      <w:proofErr w:type="spellStart"/>
      <w:r w:rsidRPr="006A0F91">
        <w:rPr>
          <w:rFonts w:ascii="Times New Roman" w:eastAsia="Times New Roman" w:hAnsi="Times New Roman" w:cs="Times New Roman"/>
          <w:sz w:val="18"/>
          <w:szCs w:val="18"/>
          <w:lang w:eastAsia="zh-CN" w:bidi="ar-IQ"/>
          <w14:ligatures w14:val="none"/>
        </w:rPr>
        <w:t>Surg</w:t>
      </w:r>
      <w:proofErr w:type="spellEnd"/>
      <w:r w:rsidRPr="006A0F91">
        <w:rPr>
          <w:rFonts w:ascii="Times New Roman" w:eastAsia="Times New Roman" w:hAnsi="Times New Roman" w:cs="Times New Roman"/>
          <w:sz w:val="18"/>
          <w:szCs w:val="18"/>
          <w:lang w:eastAsia="zh-CN" w:bidi="ar-IQ"/>
          <w14:ligatures w14:val="none"/>
        </w:rPr>
        <w:t xml:space="preserve"> Br. 1995; 77:34–41.</w:t>
      </w:r>
    </w:p>
    <w:p w14:paraId="219D5446" w14:textId="77777777" w:rsidR="004367C5" w:rsidRPr="004367C5" w:rsidRDefault="004367C5" w:rsidP="004367C5">
      <w:pPr>
        <w:pStyle w:val="34-SciencePG-References-content"/>
        <w:divId w:val="634069555"/>
        <w:rPr>
          <w:lang w:bidi="ar-IQ"/>
        </w:rPr>
      </w:pPr>
      <w:r w:rsidRPr="004367C5">
        <w:rPr>
          <w:lang w:bidi="ar-IQ"/>
        </w:rPr>
        <w:t xml:space="preserve">Hungerford DS. Pathogenesis of ischemic necrosis of the femoral head. </w:t>
      </w:r>
      <w:proofErr w:type="spellStart"/>
      <w:r w:rsidRPr="004367C5">
        <w:rPr>
          <w:lang w:bidi="ar-IQ"/>
        </w:rPr>
        <w:t>Instr</w:t>
      </w:r>
      <w:proofErr w:type="spellEnd"/>
      <w:r w:rsidRPr="004367C5">
        <w:rPr>
          <w:lang w:bidi="ar-IQ"/>
        </w:rPr>
        <w:t xml:space="preserve"> Course </w:t>
      </w:r>
      <w:proofErr w:type="spellStart"/>
      <w:r w:rsidRPr="004367C5">
        <w:rPr>
          <w:lang w:bidi="ar-IQ"/>
        </w:rPr>
        <w:t>Lect</w:t>
      </w:r>
      <w:proofErr w:type="spellEnd"/>
      <w:r w:rsidRPr="004367C5">
        <w:rPr>
          <w:lang w:bidi="ar-IQ"/>
        </w:rPr>
        <w:t>. 1983; 32:252–260.</w:t>
      </w:r>
    </w:p>
    <w:p w14:paraId="2BB6C817" w14:textId="77777777" w:rsidR="004367C5" w:rsidRPr="004367C5" w:rsidRDefault="004367C5" w:rsidP="004367C5">
      <w:pPr>
        <w:pStyle w:val="34-SciencePG-References-content"/>
        <w:divId w:val="634069555"/>
        <w:rPr>
          <w:rFonts w:hint="cs"/>
          <w:rtl/>
          <w:lang w:bidi="ar-IQ"/>
        </w:rPr>
      </w:pPr>
      <w:proofErr w:type="spellStart"/>
      <w:r w:rsidRPr="004367C5">
        <w:rPr>
          <w:lang w:bidi="ar-IQ"/>
        </w:rPr>
        <w:t>Hernigou</w:t>
      </w:r>
      <w:proofErr w:type="spellEnd"/>
      <w:r w:rsidRPr="004367C5">
        <w:rPr>
          <w:lang w:bidi="ar-IQ"/>
        </w:rPr>
        <w:t xml:space="preserve"> P, </w:t>
      </w:r>
      <w:proofErr w:type="spellStart"/>
      <w:r w:rsidRPr="004367C5">
        <w:rPr>
          <w:lang w:bidi="ar-IQ"/>
        </w:rPr>
        <w:t>Beaujean</w:t>
      </w:r>
      <w:proofErr w:type="spellEnd"/>
      <w:r w:rsidRPr="004367C5">
        <w:rPr>
          <w:lang w:bidi="ar-IQ"/>
        </w:rPr>
        <w:t xml:space="preserve"> F. Treatment of osteonecrosis with autologous bone marrow grafting. </w:t>
      </w:r>
      <w:proofErr w:type="spellStart"/>
      <w:r w:rsidRPr="004367C5">
        <w:rPr>
          <w:lang w:bidi="ar-IQ"/>
        </w:rPr>
        <w:t>Clin</w:t>
      </w:r>
      <w:proofErr w:type="spellEnd"/>
      <w:r w:rsidRPr="004367C5">
        <w:rPr>
          <w:lang w:bidi="ar-IQ"/>
        </w:rPr>
        <w:t xml:space="preserve"> </w:t>
      </w:r>
      <w:proofErr w:type="spellStart"/>
      <w:r w:rsidRPr="004367C5">
        <w:rPr>
          <w:lang w:bidi="ar-IQ"/>
        </w:rPr>
        <w:t>Orthop</w:t>
      </w:r>
      <w:proofErr w:type="spellEnd"/>
      <w:r w:rsidRPr="004367C5">
        <w:rPr>
          <w:lang w:bidi="ar-IQ"/>
        </w:rPr>
        <w:t xml:space="preserve"> </w:t>
      </w:r>
      <w:proofErr w:type="spellStart"/>
      <w:r w:rsidRPr="004367C5">
        <w:rPr>
          <w:lang w:bidi="ar-IQ"/>
        </w:rPr>
        <w:t>Relat</w:t>
      </w:r>
      <w:proofErr w:type="spellEnd"/>
      <w:r w:rsidRPr="004367C5">
        <w:rPr>
          <w:lang w:bidi="ar-IQ"/>
        </w:rPr>
        <w:t xml:space="preserve"> Res. 2002; 405:14–23.</w:t>
      </w:r>
    </w:p>
    <w:p w14:paraId="0DC1CDF5" w14:textId="470A25B6" w:rsidR="006A0F91" w:rsidRPr="004367C5" w:rsidRDefault="006A0F91" w:rsidP="004367C5">
      <w:pPr>
        <w:widowControl w:val="0"/>
        <w:adjustRightInd w:val="0"/>
        <w:snapToGrid w:val="0"/>
        <w:spacing w:line="200" w:lineRule="exact"/>
        <w:ind w:left="420"/>
        <w:jc w:val="both"/>
        <w:rPr>
          <w:rFonts w:ascii="Times New Roman" w:eastAsia="Times New Roman" w:hAnsi="Times New Roman" w:cs="Times New Roman"/>
          <w:sz w:val="18"/>
          <w:szCs w:val="18"/>
          <w:lang w:eastAsia="zh-CN" w:bidi="ar-IQ"/>
          <w14:ligatures w14:val="none"/>
        </w:rPr>
      </w:pPr>
    </w:p>
    <w:sectPr w:rsidR="006A0F91" w:rsidRPr="004367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16CB"/>
    <w:multiLevelType w:val="hybridMultilevel"/>
    <w:tmpl w:val="295E7894"/>
    <w:lvl w:ilvl="0" w:tplc="6122B19E">
      <w:start w:val="1"/>
      <w:numFmt w:val="decimal"/>
      <w:pStyle w:val="34-SciencePG-References-content"/>
      <w:lvlText w:val="[%1]"/>
      <w:lvlJc w:val="left"/>
      <w:pPr>
        <w:tabs>
          <w:tab w:val="num" w:pos="420"/>
        </w:tabs>
        <w:ind w:left="420" w:hanging="420"/>
      </w:pPr>
      <w:rPr>
        <w:rFonts w:ascii="Times New Roman" w:hAnsi="Times New Roman" w:hint="default"/>
        <w:b w:val="0"/>
        <w:i w:val="0"/>
        <w:color w:val="auto"/>
        <w:sz w:val="18"/>
        <w:szCs w:val="18"/>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16cid:durableId="1224173805">
    <w:abstractNumId w:val="0"/>
  </w:num>
  <w:num w:numId="2" w16cid:durableId="3881144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064"/>
    <w:rsid w:val="0001177C"/>
    <w:rsid w:val="00025603"/>
    <w:rsid w:val="00087CB7"/>
    <w:rsid w:val="000C7DFD"/>
    <w:rsid w:val="00166C90"/>
    <w:rsid w:val="00192DAF"/>
    <w:rsid w:val="001B501F"/>
    <w:rsid w:val="001E3DD2"/>
    <w:rsid w:val="00233CAC"/>
    <w:rsid w:val="00261053"/>
    <w:rsid w:val="00310A25"/>
    <w:rsid w:val="00313064"/>
    <w:rsid w:val="00345C7F"/>
    <w:rsid w:val="00383A50"/>
    <w:rsid w:val="004367C5"/>
    <w:rsid w:val="00494076"/>
    <w:rsid w:val="004B680A"/>
    <w:rsid w:val="00547E00"/>
    <w:rsid w:val="00565CAD"/>
    <w:rsid w:val="005E6AEE"/>
    <w:rsid w:val="00633D2F"/>
    <w:rsid w:val="00657B20"/>
    <w:rsid w:val="00691EC5"/>
    <w:rsid w:val="006A0F91"/>
    <w:rsid w:val="006D44DE"/>
    <w:rsid w:val="00733567"/>
    <w:rsid w:val="00805E3F"/>
    <w:rsid w:val="0084354A"/>
    <w:rsid w:val="009E475A"/>
    <w:rsid w:val="00A62886"/>
    <w:rsid w:val="00AF74B7"/>
    <w:rsid w:val="00B41907"/>
    <w:rsid w:val="00BB6124"/>
    <w:rsid w:val="00C005AC"/>
    <w:rsid w:val="00C0717D"/>
    <w:rsid w:val="00C33CD4"/>
    <w:rsid w:val="00C94ED3"/>
    <w:rsid w:val="00C9666B"/>
    <w:rsid w:val="00CC3BB9"/>
    <w:rsid w:val="00D159E5"/>
    <w:rsid w:val="00D24520"/>
    <w:rsid w:val="00D85893"/>
    <w:rsid w:val="00DE7A74"/>
    <w:rsid w:val="00E45454"/>
    <w:rsid w:val="00E61E6D"/>
    <w:rsid w:val="00E75BF6"/>
    <w:rsid w:val="00E84630"/>
    <w:rsid w:val="00EE3D91"/>
    <w:rsid w:val="00F0725D"/>
    <w:rsid w:val="00F66006"/>
    <w:rsid w:val="00FC1275"/>
    <w:rsid w:val="00FD5C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B79FC"/>
  <w15:chartTrackingRefBased/>
  <w15:docId w15:val="{692A288A-A099-4F96-9B62-096973AC9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SciencePG-ReferencesReferences">
    <w:name w:val="33-SciencePG-References (References)"/>
    <w:basedOn w:val="Normal"/>
    <w:qFormat/>
    <w:rsid w:val="006A0F91"/>
    <w:pPr>
      <w:widowControl w:val="0"/>
      <w:adjustRightInd w:val="0"/>
      <w:snapToGrid w:val="0"/>
      <w:spacing w:before="120" w:line="240" w:lineRule="exact"/>
    </w:pPr>
    <w:rPr>
      <w:rFonts w:ascii="Times New Roman" w:eastAsia="Times New Roman" w:hAnsi="Times New Roman" w:cs="Times New Roman"/>
      <w:b/>
      <w:sz w:val="28"/>
      <w:szCs w:val="28"/>
      <w:lang w:eastAsia="zh-CN"/>
      <w14:ligatures w14:val="none"/>
    </w:rPr>
  </w:style>
  <w:style w:type="paragraph" w:customStyle="1" w:styleId="34-SciencePG-References-content">
    <w:name w:val="34-SciencePG-References-content"/>
    <w:basedOn w:val="Normal"/>
    <w:qFormat/>
    <w:rsid w:val="006A0F91"/>
    <w:pPr>
      <w:widowControl w:val="0"/>
      <w:numPr>
        <w:numId w:val="1"/>
      </w:numPr>
      <w:adjustRightInd w:val="0"/>
      <w:snapToGrid w:val="0"/>
      <w:spacing w:line="200" w:lineRule="exact"/>
      <w:jc w:val="both"/>
    </w:pPr>
    <w:rPr>
      <w:rFonts w:ascii="Times New Roman" w:eastAsia="Times New Roman" w:hAnsi="Times New Roman" w:cs="Times New Roman"/>
      <w:sz w:val="18"/>
      <w:szCs w:val="18"/>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406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510</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sherif</dc:creator>
  <cp:keywords/>
  <dc:description/>
  <cp:lastModifiedBy>a. sherif</cp:lastModifiedBy>
  <cp:revision>2</cp:revision>
  <dcterms:created xsi:type="dcterms:W3CDTF">2023-04-26T04:12:00Z</dcterms:created>
  <dcterms:modified xsi:type="dcterms:W3CDTF">2023-04-26T04:12:00Z</dcterms:modified>
</cp:coreProperties>
</file>