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1BD5A" w14:textId="77777777" w:rsidR="00F725E1" w:rsidRPr="00F725E1" w:rsidRDefault="00F725E1" w:rsidP="00F725E1">
      <w:pPr>
        <w:pStyle w:val="NormalWeb"/>
        <w:spacing w:before="0" w:beforeAutospacing="0" w:after="0" w:afterAutospacing="0"/>
        <w:jc w:val="both"/>
        <w:rPr>
          <w:rFonts w:ascii="Arial" w:hAnsi="Arial" w:cs="Arial"/>
          <w:b/>
          <w:bCs/>
          <w:sz w:val="22"/>
          <w:szCs w:val="22"/>
        </w:rPr>
      </w:pPr>
      <w:r w:rsidRPr="00F725E1">
        <w:rPr>
          <w:rFonts w:ascii="Arial" w:hAnsi="Arial" w:cs="Arial"/>
          <w:b/>
          <w:bCs/>
          <w:sz w:val="22"/>
          <w:szCs w:val="22"/>
        </w:rPr>
        <w:t>α-Globin Lentiviral Vectors for Hematopoietic Stem Cell Gene Therapy of α-Thalassemia</w:t>
      </w:r>
    </w:p>
    <w:p w14:paraId="3F19E84F" w14:textId="77777777" w:rsidR="00F725E1" w:rsidRPr="00F725E1" w:rsidRDefault="00F725E1" w:rsidP="00F725E1">
      <w:pPr>
        <w:pStyle w:val="NormalWeb"/>
        <w:spacing w:before="0" w:beforeAutospacing="0" w:after="0" w:afterAutospacing="0"/>
        <w:jc w:val="both"/>
        <w:rPr>
          <w:rFonts w:ascii="Arial" w:hAnsi="Arial" w:cs="Arial"/>
          <w:bCs/>
          <w:sz w:val="22"/>
          <w:szCs w:val="22"/>
          <w:vertAlign w:val="superscript"/>
        </w:rPr>
      </w:pPr>
      <w:r w:rsidRPr="00F725E1">
        <w:rPr>
          <w:rFonts w:ascii="Arial" w:hAnsi="Arial" w:cs="Arial"/>
          <w:bCs/>
          <w:sz w:val="22"/>
          <w:szCs w:val="22"/>
        </w:rPr>
        <w:t>Eva Segura</w:t>
      </w:r>
      <w:r w:rsidRPr="00F725E1">
        <w:rPr>
          <w:rFonts w:ascii="Arial" w:hAnsi="Arial" w:cs="Arial"/>
          <w:bCs/>
          <w:sz w:val="22"/>
          <w:szCs w:val="22"/>
          <w:vertAlign w:val="superscript"/>
        </w:rPr>
        <w:t>1</w:t>
      </w:r>
      <w:r w:rsidRPr="00F725E1">
        <w:rPr>
          <w:rFonts w:ascii="Arial" w:hAnsi="Arial" w:cs="Arial"/>
          <w:bCs/>
          <w:sz w:val="22"/>
          <w:szCs w:val="22"/>
        </w:rPr>
        <w:t>, Kevin Tam</w:t>
      </w:r>
      <w:r w:rsidRPr="00F725E1">
        <w:rPr>
          <w:rFonts w:ascii="Arial" w:hAnsi="Arial" w:cs="Arial"/>
          <w:bCs/>
          <w:sz w:val="22"/>
          <w:szCs w:val="22"/>
          <w:vertAlign w:val="superscript"/>
        </w:rPr>
        <w:t>1</w:t>
      </w:r>
      <w:r w:rsidRPr="00F725E1">
        <w:rPr>
          <w:rFonts w:ascii="Arial" w:hAnsi="Arial" w:cs="Arial"/>
          <w:bCs/>
          <w:sz w:val="22"/>
          <w:szCs w:val="22"/>
        </w:rPr>
        <w:t>, Beatriz Campo</w:t>
      </w:r>
      <w:r w:rsidRPr="00F725E1">
        <w:rPr>
          <w:rFonts w:ascii="Arial" w:hAnsi="Arial" w:cs="Arial"/>
          <w:bCs/>
          <w:sz w:val="22"/>
          <w:szCs w:val="22"/>
          <w:vertAlign w:val="superscript"/>
        </w:rPr>
        <w:t>1</w:t>
      </w:r>
      <w:r w:rsidRPr="00F725E1">
        <w:rPr>
          <w:rFonts w:ascii="Arial" w:hAnsi="Arial" w:cs="Arial"/>
          <w:bCs/>
          <w:sz w:val="22"/>
          <w:szCs w:val="22"/>
        </w:rPr>
        <w:t>, Tippi MacKenzie</w:t>
      </w:r>
      <w:r w:rsidRPr="00F725E1">
        <w:rPr>
          <w:rFonts w:ascii="Arial" w:hAnsi="Arial" w:cs="Arial"/>
          <w:bCs/>
          <w:sz w:val="22"/>
          <w:szCs w:val="22"/>
          <w:vertAlign w:val="superscript"/>
        </w:rPr>
        <w:t>2</w:t>
      </w:r>
      <w:r w:rsidRPr="00F725E1">
        <w:rPr>
          <w:rFonts w:ascii="Arial" w:hAnsi="Arial" w:cs="Arial"/>
          <w:bCs/>
          <w:sz w:val="22"/>
          <w:szCs w:val="22"/>
        </w:rPr>
        <w:t>, Roger Hollis</w:t>
      </w:r>
      <w:r w:rsidRPr="00F725E1">
        <w:rPr>
          <w:rFonts w:ascii="Arial" w:hAnsi="Arial" w:cs="Arial"/>
          <w:bCs/>
          <w:sz w:val="22"/>
          <w:szCs w:val="22"/>
          <w:vertAlign w:val="superscript"/>
        </w:rPr>
        <w:t>1</w:t>
      </w:r>
      <w:r w:rsidRPr="00F725E1">
        <w:rPr>
          <w:rFonts w:ascii="Arial" w:hAnsi="Arial" w:cs="Arial"/>
          <w:bCs/>
          <w:sz w:val="22"/>
          <w:szCs w:val="22"/>
        </w:rPr>
        <w:t>, Donald Kohn</w:t>
      </w:r>
      <w:r w:rsidRPr="00F725E1">
        <w:rPr>
          <w:rFonts w:ascii="Arial" w:hAnsi="Arial" w:cs="Arial"/>
          <w:bCs/>
          <w:sz w:val="22"/>
          <w:szCs w:val="22"/>
          <w:vertAlign w:val="superscript"/>
        </w:rPr>
        <w:t>1</w:t>
      </w:r>
    </w:p>
    <w:p w14:paraId="5FF1E488" w14:textId="77777777" w:rsidR="00F725E1" w:rsidRPr="00F725E1" w:rsidRDefault="00F725E1" w:rsidP="00F725E1">
      <w:pPr>
        <w:pStyle w:val="NormalWeb"/>
        <w:spacing w:before="0" w:beforeAutospacing="0" w:after="0" w:afterAutospacing="0"/>
        <w:jc w:val="both"/>
        <w:rPr>
          <w:rFonts w:ascii="Arial" w:hAnsi="Arial" w:cs="Arial"/>
          <w:bCs/>
          <w:sz w:val="22"/>
          <w:szCs w:val="22"/>
          <w:vertAlign w:val="superscript"/>
        </w:rPr>
      </w:pPr>
    </w:p>
    <w:p w14:paraId="5DD91A55" w14:textId="77777777" w:rsidR="00F725E1" w:rsidRPr="00F725E1" w:rsidRDefault="00F725E1" w:rsidP="00F725E1">
      <w:pPr>
        <w:pStyle w:val="NormalWeb"/>
        <w:spacing w:before="0" w:beforeAutospacing="0" w:after="0" w:afterAutospacing="0"/>
        <w:jc w:val="both"/>
        <w:rPr>
          <w:rFonts w:ascii="Arial" w:hAnsi="Arial" w:cs="Arial"/>
          <w:bCs/>
          <w:sz w:val="22"/>
          <w:szCs w:val="22"/>
          <w:vertAlign w:val="superscript"/>
        </w:rPr>
      </w:pPr>
      <w:r w:rsidRPr="00F725E1">
        <w:rPr>
          <w:rFonts w:ascii="Arial" w:hAnsi="Arial" w:cs="Arial"/>
          <w:bCs/>
          <w:sz w:val="22"/>
          <w:szCs w:val="22"/>
          <w:vertAlign w:val="superscript"/>
        </w:rPr>
        <w:t>1</w:t>
      </w:r>
      <w:r w:rsidRPr="00F725E1">
        <w:rPr>
          <w:rFonts w:ascii="Arial" w:hAnsi="Arial" w:cs="Arial"/>
          <w:sz w:val="22"/>
          <w:szCs w:val="22"/>
        </w:rPr>
        <w:t>David Geffen School of Medicine, University of California, Los Angeles, CA 90095, USA</w:t>
      </w:r>
    </w:p>
    <w:p w14:paraId="6CD4226A" w14:textId="77777777" w:rsidR="00F725E1" w:rsidRPr="00F725E1" w:rsidRDefault="00F725E1" w:rsidP="00F725E1">
      <w:pPr>
        <w:pStyle w:val="NormalWeb"/>
        <w:spacing w:before="0" w:beforeAutospacing="0" w:after="0" w:afterAutospacing="0"/>
        <w:jc w:val="both"/>
        <w:rPr>
          <w:rFonts w:ascii="Arial" w:hAnsi="Arial" w:cs="Arial"/>
          <w:bCs/>
          <w:sz w:val="22"/>
          <w:szCs w:val="22"/>
        </w:rPr>
      </w:pPr>
      <w:r w:rsidRPr="00F725E1">
        <w:rPr>
          <w:rFonts w:ascii="Arial" w:hAnsi="Arial" w:cs="Arial"/>
          <w:bCs/>
          <w:sz w:val="22"/>
          <w:szCs w:val="22"/>
          <w:vertAlign w:val="superscript"/>
        </w:rPr>
        <w:t>2</w:t>
      </w:r>
      <w:r w:rsidRPr="00F725E1">
        <w:rPr>
          <w:rFonts w:ascii="Arial" w:hAnsi="Arial" w:cs="Arial"/>
          <w:bCs/>
          <w:sz w:val="22"/>
          <w:szCs w:val="22"/>
        </w:rPr>
        <w:t>Department of Surgery, Division of Pediatric Surgery, UCSF Benioff Children's Hospital, San Francisco, CA 94158, USA</w:t>
      </w:r>
    </w:p>
    <w:p w14:paraId="21394029" w14:textId="77777777" w:rsidR="00F725E1" w:rsidRPr="00F725E1" w:rsidRDefault="00F725E1" w:rsidP="00F725E1">
      <w:pPr>
        <w:pStyle w:val="NormalWeb"/>
        <w:spacing w:before="0" w:beforeAutospacing="0" w:after="0" w:afterAutospacing="0"/>
        <w:jc w:val="both"/>
        <w:rPr>
          <w:rFonts w:ascii="Arial" w:hAnsi="Arial" w:cs="Arial"/>
          <w:b/>
          <w:bCs/>
          <w:sz w:val="22"/>
          <w:szCs w:val="22"/>
        </w:rPr>
      </w:pPr>
    </w:p>
    <w:p w14:paraId="2C5F1DEB" w14:textId="6266B02D" w:rsidR="00F725E1" w:rsidRPr="00F725E1" w:rsidRDefault="001C138E" w:rsidP="001C138E">
      <w:pPr>
        <w:pStyle w:val="NormalWeb"/>
        <w:spacing w:before="0" w:beforeAutospacing="0" w:after="0" w:afterAutospacing="0"/>
        <w:jc w:val="both"/>
        <w:rPr>
          <w:rFonts w:ascii="Arial" w:hAnsi="Arial" w:cs="Arial"/>
          <w:sz w:val="22"/>
          <w:szCs w:val="22"/>
        </w:rPr>
      </w:pPr>
      <w:r w:rsidRPr="001C138E">
        <w:rPr>
          <w:rFonts w:ascii="Arial" w:hAnsi="Arial" w:cs="Arial"/>
          <w:b/>
          <w:bCs/>
          <w:sz w:val="22"/>
          <w:szCs w:val="22"/>
          <w:u w:val="single"/>
        </w:rPr>
        <w:t>Background:</w:t>
      </w:r>
      <w:r>
        <w:rPr>
          <w:rFonts w:ascii="Arial" w:hAnsi="Arial" w:cs="Arial"/>
          <w:b/>
          <w:bCs/>
          <w:sz w:val="22"/>
          <w:szCs w:val="22"/>
        </w:rPr>
        <w:t xml:space="preserve"> </w:t>
      </w:r>
      <w:r w:rsidR="00F725E1" w:rsidRPr="001C138E">
        <w:rPr>
          <w:rFonts w:ascii="Arial" w:hAnsi="Arial" w:cs="Arial"/>
          <w:sz w:val="22"/>
          <w:szCs w:val="22"/>
        </w:rPr>
        <w:t>α-thalassemia</w:t>
      </w:r>
      <w:r w:rsidR="00F725E1" w:rsidRPr="00F725E1">
        <w:rPr>
          <w:rFonts w:ascii="Arial" w:hAnsi="Arial" w:cs="Arial"/>
          <w:b/>
          <w:bCs/>
          <w:sz w:val="22"/>
          <w:szCs w:val="22"/>
        </w:rPr>
        <w:t xml:space="preserve"> </w:t>
      </w:r>
      <w:r w:rsidR="00F725E1" w:rsidRPr="00F725E1">
        <w:rPr>
          <w:rFonts w:ascii="Arial" w:hAnsi="Arial" w:cs="Arial"/>
          <w:sz w:val="22"/>
          <w:szCs w:val="22"/>
        </w:rPr>
        <w:t>is an inherited blood disorder caused by mutations in α-globin genes (HBA1 and HBA2) resulting in the reduction of α-globin chains, the subuni</w:t>
      </w:r>
      <w:r w:rsidR="00F725E1" w:rsidRPr="00F725E1">
        <w:rPr>
          <w:rFonts w:ascii="Arial" w:hAnsi="Arial" w:cs="Arial"/>
          <w:sz w:val="22"/>
          <w:szCs w:val="22"/>
        </w:rPr>
        <w:t>t</w:t>
      </w:r>
      <w:r w:rsidR="00F725E1" w:rsidRPr="00F725E1">
        <w:rPr>
          <w:rFonts w:ascii="Arial" w:hAnsi="Arial" w:cs="Arial"/>
          <w:sz w:val="22"/>
          <w:szCs w:val="22"/>
        </w:rPr>
        <w:t xml:space="preserve"> along with β-globin chain constituting adult hemoglobin (α</w:t>
      </w:r>
      <w:r w:rsidR="00F725E1" w:rsidRPr="00F725E1">
        <w:rPr>
          <w:rFonts w:ascii="Arial" w:hAnsi="Arial" w:cs="Arial"/>
          <w:sz w:val="22"/>
          <w:szCs w:val="22"/>
          <w:vertAlign w:val="subscript"/>
        </w:rPr>
        <w:t>2</w:t>
      </w:r>
      <w:r w:rsidR="00F725E1" w:rsidRPr="00F725E1">
        <w:rPr>
          <w:rFonts w:ascii="Arial" w:hAnsi="Arial" w:cs="Arial"/>
          <w:sz w:val="22"/>
          <w:szCs w:val="22"/>
        </w:rPr>
        <w:t>β</w:t>
      </w:r>
      <w:r w:rsidR="00F725E1" w:rsidRPr="00F725E1">
        <w:rPr>
          <w:rFonts w:ascii="Arial" w:hAnsi="Arial" w:cs="Arial"/>
          <w:sz w:val="22"/>
          <w:szCs w:val="22"/>
          <w:vertAlign w:val="subscript"/>
        </w:rPr>
        <w:t>2</w:t>
      </w:r>
      <w:r w:rsidR="00F725E1" w:rsidRPr="00F725E1">
        <w:rPr>
          <w:rFonts w:ascii="Arial" w:hAnsi="Arial" w:cs="Arial"/>
          <w:sz w:val="22"/>
          <w:szCs w:val="22"/>
        </w:rPr>
        <w:t xml:space="preserve">). Severe α-thalassemia arises with α-globin expression levels of &lt;30% or less, and α/β-globin ratio of &lt;0.2, caused by defects in or absence of three or all four α-globin genes. Treatment for survival entails lifelong, biweekly blood transfusions with daily chelation therapy. While these therapies enable patients to live into mid- to late-adulthood, they continue to engender serious clinical manifestations. </w:t>
      </w:r>
    </w:p>
    <w:p w14:paraId="580B7C9D" w14:textId="501A597F" w:rsidR="00F725E1" w:rsidRDefault="00F725E1" w:rsidP="001C138E">
      <w:pPr>
        <w:pStyle w:val="NormalWeb"/>
        <w:spacing w:before="0" w:beforeAutospacing="0" w:after="0" w:afterAutospacing="0"/>
        <w:ind w:firstLine="720"/>
        <w:jc w:val="both"/>
        <w:rPr>
          <w:rFonts w:ascii="Arial" w:hAnsi="Arial" w:cs="Arial"/>
          <w:sz w:val="22"/>
          <w:szCs w:val="22"/>
        </w:rPr>
      </w:pPr>
      <w:r w:rsidRPr="00F725E1">
        <w:rPr>
          <w:rFonts w:ascii="Arial" w:hAnsi="Arial" w:cs="Arial"/>
          <w:sz w:val="22"/>
          <w:szCs w:val="22"/>
        </w:rPr>
        <w:t xml:space="preserve">To answer this clinical need, </w:t>
      </w:r>
      <w:r w:rsidRPr="001C138E">
        <w:rPr>
          <w:rFonts w:ascii="Arial" w:hAnsi="Arial" w:cs="Arial"/>
          <w:b/>
          <w:bCs/>
          <w:sz w:val="22"/>
          <w:szCs w:val="22"/>
        </w:rPr>
        <w:t xml:space="preserve">our laboratory has developed a stem cell gene therapy in which functional copies of α-globin gene integrate into the genome of patient’s hematopoietic and progenitor stem cell (HSPC) by lentiviral vectors (LVs) to normalize the globin chain imbalance and restore hemoglobin function. </w:t>
      </w:r>
      <w:r w:rsidRPr="00F725E1">
        <w:rPr>
          <w:rFonts w:ascii="Arial" w:hAnsi="Arial" w:cs="Arial"/>
          <w:sz w:val="22"/>
          <w:szCs w:val="22"/>
        </w:rPr>
        <w:t xml:space="preserve">The design of our α-globin LVs (AGLVs) is based on </w:t>
      </w:r>
      <w:r w:rsidRPr="00F725E1">
        <w:rPr>
          <w:rFonts w:ascii="Arial" w:hAnsi="Arial" w:cs="Arial"/>
          <w:i/>
          <w:iCs/>
          <w:sz w:val="22"/>
          <w:szCs w:val="22"/>
        </w:rPr>
        <w:t>GLOBE</w:t>
      </w:r>
      <w:r w:rsidRPr="00F725E1">
        <w:rPr>
          <w:rFonts w:ascii="Arial" w:hAnsi="Arial" w:cs="Arial"/>
          <w:sz w:val="22"/>
          <w:szCs w:val="22"/>
        </w:rPr>
        <w:t xml:space="preserve"> β-globin LV utilized in a clinical trial for β-thalassemia (NCT02453477), which has achieved transfusion independence in patients with transfusion-dependence β-thalassemia major. To target excess infective erythropoiesis and hemoglobin restoration, we have constructed a series of short proviral length AGLVs for optimized titer production, HSPC infectivity, and gene expression. </w:t>
      </w:r>
    </w:p>
    <w:p w14:paraId="1A5FA841" w14:textId="77777777" w:rsidR="001C138E" w:rsidRPr="00F725E1" w:rsidRDefault="001C138E" w:rsidP="001C138E">
      <w:pPr>
        <w:pStyle w:val="NormalWeb"/>
        <w:spacing w:before="0" w:beforeAutospacing="0" w:after="0" w:afterAutospacing="0"/>
        <w:ind w:firstLine="720"/>
        <w:jc w:val="both"/>
        <w:rPr>
          <w:rFonts w:ascii="Arial" w:hAnsi="Arial" w:cs="Arial"/>
          <w:sz w:val="22"/>
          <w:szCs w:val="22"/>
        </w:rPr>
      </w:pPr>
    </w:p>
    <w:p w14:paraId="4BB86E5F" w14:textId="63AA36AB" w:rsidR="00F725E1" w:rsidRPr="00F725E1" w:rsidRDefault="001C138E" w:rsidP="001C138E">
      <w:pPr>
        <w:pStyle w:val="NormalWeb"/>
        <w:spacing w:before="0" w:beforeAutospacing="0" w:after="0" w:afterAutospacing="0"/>
        <w:jc w:val="both"/>
        <w:rPr>
          <w:rFonts w:ascii="Arial" w:hAnsi="Arial" w:cs="Arial"/>
          <w:sz w:val="22"/>
          <w:szCs w:val="22"/>
        </w:rPr>
      </w:pPr>
      <w:r w:rsidRPr="001C138E">
        <w:rPr>
          <w:rFonts w:ascii="Arial" w:hAnsi="Arial" w:cs="Arial"/>
          <w:b/>
          <w:bCs/>
          <w:sz w:val="22"/>
          <w:szCs w:val="22"/>
          <w:u w:val="single"/>
        </w:rPr>
        <w:t>Research:</w:t>
      </w:r>
      <w:r>
        <w:rPr>
          <w:rFonts w:ascii="Arial" w:hAnsi="Arial" w:cs="Arial"/>
          <w:b/>
          <w:bCs/>
          <w:sz w:val="22"/>
          <w:szCs w:val="22"/>
        </w:rPr>
        <w:t xml:space="preserve"> </w:t>
      </w:r>
      <w:r w:rsidR="00F725E1" w:rsidRPr="00F725E1">
        <w:rPr>
          <w:rFonts w:ascii="Arial" w:hAnsi="Arial" w:cs="Arial"/>
          <w:sz w:val="22"/>
          <w:szCs w:val="22"/>
        </w:rPr>
        <w:t xml:space="preserve">Twelve AGLVs varying in gene and regulatory element compositions were constructed and assessed for raw titer yields and characterized for gene transfer efficiency, mRNA expression and hemoglobin production in a α-globin knockout (KO) human erythroid cell line. Successfully, all AGLVs confer high raw titers ~ 1e7 TU/mL and were able to yield adult hemoglobin. We identified two optimal AGLVs for further characterization in human primary HSPCs: 1) </w:t>
      </w:r>
      <w:r w:rsidR="00F725E1" w:rsidRPr="00F725E1">
        <w:rPr>
          <w:rFonts w:ascii="Arial" w:hAnsi="Arial" w:cs="Arial"/>
          <w:i/>
          <w:iCs/>
          <w:sz w:val="22"/>
          <w:szCs w:val="22"/>
        </w:rPr>
        <w:t>Alpha2</w:t>
      </w:r>
      <w:r w:rsidR="00F725E1" w:rsidRPr="00F725E1">
        <w:rPr>
          <w:rFonts w:ascii="Arial" w:hAnsi="Arial" w:cs="Arial"/>
          <w:i/>
          <w:iCs/>
          <w:sz w:val="22"/>
          <w:szCs w:val="22"/>
        </w:rPr>
        <w:t xml:space="preserve"> LV</w:t>
      </w:r>
      <w:r w:rsidR="00F725E1" w:rsidRPr="00F725E1">
        <w:rPr>
          <w:rFonts w:ascii="Arial" w:hAnsi="Arial" w:cs="Arial"/>
          <w:i/>
          <w:iCs/>
          <w:sz w:val="22"/>
          <w:szCs w:val="22"/>
        </w:rPr>
        <w:t xml:space="preserve"> </w:t>
      </w:r>
      <w:r w:rsidR="00F725E1" w:rsidRPr="00F725E1">
        <w:rPr>
          <w:rFonts w:ascii="Arial" w:hAnsi="Arial" w:cs="Arial"/>
          <w:sz w:val="22"/>
          <w:szCs w:val="22"/>
        </w:rPr>
        <w:t xml:space="preserve">for yielding highest raw titers and gene transfer efficiency, and 2) </w:t>
      </w:r>
      <w:r w:rsidR="00F725E1" w:rsidRPr="00F725E1">
        <w:rPr>
          <w:rFonts w:ascii="Arial" w:hAnsi="Arial" w:cs="Arial"/>
          <w:i/>
          <w:iCs/>
          <w:sz w:val="22"/>
          <w:szCs w:val="22"/>
        </w:rPr>
        <w:t>LCR-Globe</w:t>
      </w:r>
      <w:r w:rsidR="00F725E1" w:rsidRPr="00F725E1">
        <w:rPr>
          <w:rFonts w:ascii="Arial" w:hAnsi="Arial" w:cs="Arial"/>
          <w:sz w:val="22"/>
          <w:szCs w:val="22"/>
        </w:rPr>
        <w:t xml:space="preserve"> </w:t>
      </w:r>
      <w:r w:rsidR="00F725E1" w:rsidRPr="00F725E1">
        <w:rPr>
          <w:rFonts w:ascii="Arial" w:hAnsi="Arial" w:cs="Arial"/>
          <w:i/>
          <w:iCs/>
          <w:sz w:val="22"/>
          <w:szCs w:val="22"/>
        </w:rPr>
        <w:t xml:space="preserve">LV </w:t>
      </w:r>
      <w:r w:rsidR="00F725E1" w:rsidRPr="00F725E1">
        <w:rPr>
          <w:rFonts w:ascii="Arial" w:hAnsi="Arial" w:cs="Arial"/>
          <w:sz w:val="22"/>
          <w:szCs w:val="22"/>
        </w:rPr>
        <w:t xml:space="preserve">for producing the most α-globin mRNA. Both </w:t>
      </w:r>
      <w:r w:rsidR="00F725E1" w:rsidRPr="00F725E1">
        <w:rPr>
          <w:rFonts w:ascii="Arial" w:hAnsi="Arial" w:cs="Arial"/>
          <w:i/>
          <w:iCs/>
          <w:sz w:val="22"/>
          <w:szCs w:val="22"/>
        </w:rPr>
        <w:t xml:space="preserve">Alpha2 </w:t>
      </w:r>
      <w:r w:rsidR="00F725E1" w:rsidRPr="00F725E1">
        <w:rPr>
          <w:rFonts w:ascii="Arial" w:hAnsi="Arial" w:cs="Arial"/>
          <w:sz w:val="22"/>
          <w:szCs w:val="22"/>
        </w:rPr>
        <w:t xml:space="preserve">and </w:t>
      </w:r>
      <w:r w:rsidR="00F725E1" w:rsidRPr="00F725E1">
        <w:rPr>
          <w:rFonts w:ascii="Arial" w:hAnsi="Arial" w:cs="Arial"/>
          <w:i/>
          <w:iCs/>
          <w:sz w:val="22"/>
          <w:szCs w:val="22"/>
        </w:rPr>
        <w:t xml:space="preserve">LCR-Globe </w:t>
      </w:r>
      <w:r w:rsidR="00F725E1" w:rsidRPr="00F725E1">
        <w:rPr>
          <w:rFonts w:ascii="Arial" w:hAnsi="Arial" w:cs="Arial"/>
          <w:sz w:val="22"/>
          <w:szCs w:val="22"/>
        </w:rPr>
        <w:t>LVs</w:t>
      </w:r>
      <w:r w:rsidR="00F725E1" w:rsidRPr="00F725E1">
        <w:rPr>
          <w:rFonts w:ascii="Arial" w:hAnsi="Arial" w:cs="Arial"/>
          <w:i/>
          <w:iCs/>
          <w:sz w:val="22"/>
          <w:szCs w:val="22"/>
        </w:rPr>
        <w:t xml:space="preserve"> </w:t>
      </w:r>
      <w:r w:rsidR="00F725E1" w:rsidRPr="00F725E1">
        <w:rPr>
          <w:rFonts w:ascii="Arial" w:hAnsi="Arial" w:cs="Arial"/>
          <w:sz w:val="22"/>
          <w:szCs w:val="22"/>
        </w:rPr>
        <w:t>harbor HBA2, are regulated by the β-globin promoter and enhanced by the core or large β-LCR enhancer region, respectively. To assess candidate AGLVs in human HSPCs, AGLVs were tagged at the transcription level to enable identification and quantification of vector-derived α-globin mRNA proceeding HSPCs transduction and</w:t>
      </w:r>
      <w:r w:rsidR="00F725E1" w:rsidRPr="00F725E1">
        <w:rPr>
          <w:rFonts w:ascii="Arial" w:hAnsi="Arial" w:cs="Arial"/>
          <w:i/>
          <w:iCs/>
          <w:sz w:val="22"/>
          <w:szCs w:val="22"/>
        </w:rPr>
        <w:t xml:space="preserve"> </w:t>
      </w:r>
      <w:r w:rsidR="00F725E1" w:rsidRPr="00F725E1">
        <w:rPr>
          <w:rFonts w:ascii="Arial" w:hAnsi="Arial" w:cs="Arial"/>
          <w:sz w:val="22"/>
          <w:szCs w:val="22"/>
        </w:rPr>
        <w:t xml:space="preserve">erythroid differentiation. </w:t>
      </w:r>
      <w:r w:rsidR="00F725E1" w:rsidRPr="00F725E1">
        <w:rPr>
          <w:rFonts w:ascii="Arial" w:hAnsi="Arial" w:cs="Arial"/>
          <w:i/>
          <w:iCs/>
          <w:sz w:val="22"/>
          <w:szCs w:val="22"/>
        </w:rPr>
        <w:t>Alpha2</w:t>
      </w:r>
      <w:r w:rsidR="00F725E1" w:rsidRPr="00F725E1">
        <w:rPr>
          <w:rFonts w:ascii="Arial" w:hAnsi="Arial" w:cs="Arial"/>
          <w:sz w:val="22"/>
          <w:szCs w:val="22"/>
        </w:rPr>
        <w:t xml:space="preserve"> demonstrated optimum CD34</w:t>
      </w:r>
      <w:r w:rsidR="00F725E1" w:rsidRPr="00F725E1">
        <w:rPr>
          <w:rFonts w:ascii="Arial" w:hAnsi="Arial" w:cs="Arial"/>
          <w:sz w:val="22"/>
          <w:szCs w:val="22"/>
          <w:vertAlign w:val="superscript"/>
        </w:rPr>
        <w:t>+</w:t>
      </w:r>
      <w:r w:rsidR="00F725E1" w:rsidRPr="00F725E1">
        <w:rPr>
          <w:rFonts w:ascii="Arial" w:hAnsi="Arial" w:cs="Arial"/>
          <w:sz w:val="22"/>
          <w:szCs w:val="22"/>
        </w:rPr>
        <w:t xml:space="preserve"> infectivity and gene transfer, and </w:t>
      </w:r>
      <w:r w:rsidR="00F725E1" w:rsidRPr="00F725E1">
        <w:rPr>
          <w:rFonts w:ascii="Arial" w:hAnsi="Arial" w:cs="Arial"/>
          <w:i/>
          <w:iCs/>
          <w:sz w:val="22"/>
          <w:szCs w:val="22"/>
        </w:rPr>
        <w:t xml:space="preserve">LCR-Globe </w:t>
      </w:r>
      <w:r w:rsidR="00F725E1" w:rsidRPr="00F725E1">
        <w:rPr>
          <w:rFonts w:ascii="Arial" w:hAnsi="Arial" w:cs="Arial"/>
          <w:sz w:val="22"/>
          <w:szCs w:val="22"/>
        </w:rPr>
        <w:t xml:space="preserve">expressed a high ~30% of α-globin mRNA per total β-globin per vector copy number (VCN), achieving levels of one endogenous α-globin gene (~25% per total β-globin). </w:t>
      </w:r>
    </w:p>
    <w:p w14:paraId="30EB1BD2" w14:textId="6CCCFFF5" w:rsidR="001C138E" w:rsidRDefault="001C138E" w:rsidP="001C138E">
      <w:pPr>
        <w:spacing w:after="40"/>
        <w:ind w:firstLine="720"/>
        <w:jc w:val="both"/>
        <w:rPr>
          <w:rFonts w:ascii="Arial" w:eastAsia="Helvetica Neue" w:hAnsi="Arial" w:cs="Arial"/>
          <w:bCs/>
          <w:color w:val="000000" w:themeColor="text1"/>
          <w:sz w:val="22"/>
          <w:szCs w:val="22"/>
        </w:rPr>
      </w:pPr>
      <w:r>
        <w:rPr>
          <w:rFonts w:ascii="Arial" w:eastAsia="Helvetica Neue" w:hAnsi="Arial" w:cs="Arial"/>
          <w:bCs/>
          <w:color w:val="000000" w:themeColor="text1"/>
          <w:sz w:val="22"/>
          <w:szCs w:val="22"/>
        </w:rPr>
        <w:t>We then assessed one of these vectors in Alpha Thalassemia Major (ATM) patient H</w:t>
      </w:r>
      <w:r>
        <w:rPr>
          <w:rFonts w:ascii="Arial" w:eastAsia="Helvetica Neue" w:hAnsi="Arial" w:cs="Arial"/>
          <w:bCs/>
          <w:color w:val="000000" w:themeColor="text1"/>
          <w:sz w:val="22"/>
          <w:szCs w:val="22"/>
        </w:rPr>
        <w:t>P</w:t>
      </w:r>
      <w:r>
        <w:rPr>
          <w:rFonts w:ascii="Arial" w:eastAsia="Helvetica Neue" w:hAnsi="Arial" w:cs="Arial"/>
          <w:bCs/>
          <w:color w:val="000000" w:themeColor="text1"/>
          <w:sz w:val="22"/>
          <w:szCs w:val="22"/>
        </w:rPr>
        <w:t xml:space="preserve">SCs – lacking all four </w:t>
      </w:r>
      <w:r w:rsidRPr="00136CAB">
        <w:rPr>
          <w:rFonts w:ascii="Arial" w:eastAsia="Helvetica Neue" w:hAnsi="Arial" w:cs="Arial"/>
          <w:bCs/>
          <w:color w:val="000000" w:themeColor="text1"/>
          <w:sz w:val="22"/>
          <w:szCs w:val="22"/>
        </w:rPr>
        <w:t>α-globin gene</w:t>
      </w:r>
      <w:r>
        <w:rPr>
          <w:rFonts w:ascii="Arial" w:eastAsia="Helvetica Neue" w:hAnsi="Arial" w:cs="Arial"/>
          <w:bCs/>
          <w:color w:val="000000" w:themeColor="text1"/>
          <w:sz w:val="22"/>
          <w:szCs w:val="22"/>
        </w:rPr>
        <w:t xml:space="preserve">s. </w:t>
      </w:r>
      <w:r w:rsidRPr="001C138E">
        <w:rPr>
          <w:rFonts w:ascii="Arial" w:eastAsia="Helvetica Neue" w:hAnsi="Arial" w:cs="Arial"/>
          <w:b/>
          <w:color w:val="000000" w:themeColor="text1"/>
          <w:sz w:val="22"/>
          <w:szCs w:val="22"/>
        </w:rPr>
        <w:t>We successfully demonstrated that a low average of copies per cell (~2) restored adult hemoglobin formation by 50%,</w:t>
      </w:r>
      <w:r>
        <w:rPr>
          <w:rFonts w:ascii="Arial" w:eastAsia="Helvetica Neue" w:hAnsi="Arial" w:cs="Arial"/>
          <w:bCs/>
          <w:color w:val="000000" w:themeColor="text1"/>
          <w:sz w:val="22"/>
          <w:szCs w:val="22"/>
        </w:rPr>
        <w:t xml:space="preserve"> which was determined by measuring </w:t>
      </w:r>
      <w:r w:rsidRPr="00136CAB">
        <w:rPr>
          <w:rFonts w:ascii="Arial" w:eastAsia="Helvetica Neue" w:hAnsi="Arial" w:cs="Arial"/>
          <w:bCs/>
          <w:color w:val="000000" w:themeColor="text1"/>
          <w:sz w:val="22"/>
          <w:szCs w:val="22"/>
        </w:rPr>
        <w:t>α-globin</w:t>
      </w:r>
      <w:r>
        <w:rPr>
          <w:rFonts w:ascii="Arial" w:eastAsia="Helvetica Neue" w:hAnsi="Arial" w:cs="Arial"/>
          <w:bCs/>
          <w:color w:val="000000" w:themeColor="text1"/>
          <w:sz w:val="22"/>
          <w:szCs w:val="22"/>
        </w:rPr>
        <w:t xml:space="preserve"> chains (produced by the introduced </w:t>
      </w:r>
      <w:r w:rsidRPr="00136CAB">
        <w:rPr>
          <w:rFonts w:ascii="Arial" w:eastAsia="Helvetica Neue" w:hAnsi="Arial" w:cs="Arial"/>
          <w:bCs/>
          <w:color w:val="000000" w:themeColor="text1"/>
          <w:sz w:val="22"/>
          <w:szCs w:val="22"/>
        </w:rPr>
        <w:t>α-globin gene</w:t>
      </w:r>
      <w:r>
        <w:rPr>
          <w:rFonts w:ascii="Arial" w:eastAsia="Helvetica Neue" w:hAnsi="Arial" w:cs="Arial"/>
          <w:bCs/>
          <w:color w:val="000000" w:themeColor="text1"/>
          <w:sz w:val="22"/>
          <w:szCs w:val="22"/>
        </w:rPr>
        <w:t xml:space="preserve">) to other endogenous </w:t>
      </w:r>
      <w:r w:rsidRPr="00136CAB">
        <w:rPr>
          <w:rFonts w:ascii="Arial" w:eastAsia="Helvetica Neue" w:hAnsi="Arial" w:cs="Arial"/>
          <w:bCs/>
          <w:color w:val="000000" w:themeColor="text1"/>
          <w:sz w:val="22"/>
          <w:szCs w:val="22"/>
        </w:rPr>
        <w:t>β-globin</w:t>
      </w:r>
      <w:r>
        <w:rPr>
          <w:rFonts w:ascii="Arial" w:eastAsia="Helvetica Neue" w:hAnsi="Arial" w:cs="Arial"/>
          <w:bCs/>
          <w:color w:val="000000" w:themeColor="text1"/>
          <w:sz w:val="22"/>
          <w:szCs w:val="22"/>
        </w:rPr>
        <w:t xml:space="preserve"> chains. (To note, two endogenous </w:t>
      </w:r>
      <w:r w:rsidRPr="00136CAB">
        <w:rPr>
          <w:rFonts w:ascii="Arial" w:eastAsia="Helvetica Neue" w:hAnsi="Arial" w:cs="Arial"/>
          <w:bCs/>
          <w:color w:val="000000" w:themeColor="text1"/>
          <w:sz w:val="22"/>
          <w:szCs w:val="22"/>
        </w:rPr>
        <w:t>α</w:t>
      </w:r>
      <w:r>
        <w:rPr>
          <w:rFonts w:ascii="Arial" w:eastAsia="Helvetica Neue" w:hAnsi="Arial" w:cs="Arial"/>
          <w:bCs/>
          <w:color w:val="000000" w:themeColor="text1"/>
          <w:sz w:val="22"/>
          <w:szCs w:val="22"/>
        </w:rPr>
        <w:t xml:space="preserve">-globin genes, or 50% gene expression, result in asymptomatic cases of </w:t>
      </w:r>
      <w:r w:rsidRPr="001C138E">
        <w:rPr>
          <w:rFonts w:ascii="Arial" w:hAnsi="Arial" w:cs="Arial"/>
          <w:sz w:val="22"/>
          <w:szCs w:val="22"/>
        </w:rPr>
        <w:t>α-thalassemia</w:t>
      </w:r>
      <w:r>
        <w:rPr>
          <w:rFonts w:ascii="Arial" w:eastAsia="Helvetica Neue" w:hAnsi="Arial" w:cs="Arial"/>
          <w:bCs/>
          <w:color w:val="000000" w:themeColor="text1"/>
          <w:sz w:val="22"/>
          <w:szCs w:val="22"/>
        </w:rPr>
        <w:t xml:space="preserve"> in most patients). We further showed that transduced cells are </w:t>
      </w:r>
      <w:proofErr w:type="gramStart"/>
      <w:r>
        <w:rPr>
          <w:rFonts w:ascii="Arial" w:eastAsia="Helvetica Neue" w:hAnsi="Arial" w:cs="Arial"/>
          <w:bCs/>
          <w:color w:val="000000" w:themeColor="text1"/>
          <w:sz w:val="22"/>
          <w:szCs w:val="22"/>
        </w:rPr>
        <w:t>similar to</w:t>
      </w:r>
      <w:proofErr w:type="gramEnd"/>
      <w:r>
        <w:rPr>
          <w:rFonts w:ascii="Arial" w:eastAsia="Helvetica Neue" w:hAnsi="Arial" w:cs="Arial"/>
          <w:bCs/>
          <w:color w:val="000000" w:themeColor="text1"/>
          <w:sz w:val="22"/>
          <w:szCs w:val="22"/>
        </w:rPr>
        <w:t xml:space="preserve"> healthy RBCs; round, pale enucleated RBCs, unlike the untransduced patient RBCs which contained more nucleated cells (sign of ineffective RBC maturation). These preliminary patient cell results are promising and will be repeated with further morphologic and gene expression measurements. </w:t>
      </w:r>
    </w:p>
    <w:p w14:paraId="46971BF5" w14:textId="76A7770E" w:rsidR="001C138E" w:rsidRDefault="001C138E" w:rsidP="001C138E">
      <w:pPr>
        <w:spacing w:after="40"/>
        <w:jc w:val="both"/>
        <w:rPr>
          <w:rFonts w:ascii="Arial" w:eastAsia="Helvetica Neue" w:hAnsi="Arial" w:cs="Arial"/>
          <w:bCs/>
          <w:color w:val="000000" w:themeColor="text1"/>
          <w:sz w:val="22"/>
          <w:szCs w:val="22"/>
        </w:rPr>
      </w:pPr>
      <w:r>
        <w:rPr>
          <w:rFonts w:ascii="Arial" w:eastAsia="Helvetica Neue" w:hAnsi="Arial" w:cs="Arial"/>
          <w:bCs/>
          <w:color w:val="000000" w:themeColor="text1"/>
          <w:sz w:val="22"/>
          <w:szCs w:val="22"/>
        </w:rPr>
        <w:t xml:space="preserve">Based on these positive results, we are confidently moving forward with animal studies. The selected mouse model contains a mild form of </w:t>
      </w:r>
      <w:r w:rsidRPr="001C138E">
        <w:rPr>
          <w:rFonts w:ascii="Arial" w:hAnsi="Arial" w:cs="Arial"/>
          <w:sz w:val="22"/>
          <w:szCs w:val="22"/>
        </w:rPr>
        <w:t>α-thalassemia</w:t>
      </w:r>
      <w:r>
        <w:rPr>
          <w:rFonts w:ascii="Arial" w:eastAsia="Helvetica Neue" w:hAnsi="Arial" w:cs="Arial"/>
          <w:bCs/>
          <w:color w:val="000000" w:themeColor="text1"/>
          <w:sz w:val="22"/>
          <w:szCs w:val="22"/>
        </w:rPr>
        <w:t xml:space="preserve"> caused by a deletion of two </w:t>
      </w:r>
      <w:r w:rsidRPr="00136CAB">
        <w:rPr>
          <w:rFonts w:ascii="Arial" w:eastAsia="Helvetica Neue" w:hAnsi="Arial" w:cs="Arial"/>
          <w:bCs/>
          <w:color w:val="000000" w:themeColor="text1"/>
          <w:sz w:val="22"/>
          <w:szCs w:val="22"/>
        </w:rPr>
        <w:t>α-globin gene</w:t>
      </w:r>
      <w:r>
        <w:rPr>
          <w:rFonts w:ascii="Arial" w:eastAsia="Helvetica Neue" w:hAnsi="Arial" w:cs="Arial"/>
          <w:bCs/>
          <w:color w:val="000000" w:themeColor="text1"/>
          <w:sz w:val="22"/>
          <w:szCs w:val="22"/>
        </w:rPr>
        <w:t xml:space="preserve">s and present human-like symptoms of AT, such as anemia and an enlarged spleen. </w:t>
      </w:r>
      <w:r>
        <w:rPr>
          <w:rFonts w:ascii="Arial" w:eastAsia="Helvetica Neue" w:hAnsi="Arial" w:cs="Arial"/>
          <w:bCs/>
          <w:color w:val="000000" w:themeColor="text1"/>
          <w:sz w:val="22"/>
          <w:szCs w:val="22"/>
        </w:rPr>
        <w:t xml:space="preserve">These </w:t>
      </w:r>
      <w:r>
        <w:rPr>
          <w:rFonts w:ascii="Arial" w:eastAsia="Helvetica Neue" w:hAnsi="Arial" w:cs="Arial"/>
          <w:bCs/>
          <w:color w:val="000000" w:themeColor="text1"/>
          <w:sz w:val="22"/>
          <w:szCs w:val="22"/>
        </w:rPr>
        <w:t xml:space="preserve">vectors </w:t>
      </w:r>
      <w:r>
        <w:rPr>
          <w:rFonts w:ascii="Arial" w:eastAsia="Helvetica Neue" w:hAnsi="Arial" w:cs="Arial"/>
          <w:bCs/>
          <w:color w:val="000000" w:themeColor="text1"/>
          <w:sz w:val="22"/>
          <w:szCs w:val="22"/>
        </w:rPr>
        <w:t xml:space="preserve">have been converted to </w:t>
      </w:r>
      <w:r>
        <w:rPr>
          <w:rFonts w:ascii="Arial" w:eastAsia="Helvetica Neue" w:hAnsi="Arial" w:cs="Arial"/>
          <w:bCs/>
          <w:color w:val="000000" w:themeColor="text1"/>
          <w:sz w:val="22"/>
          <w:szCs w:val="22"/>
        </w:rPr>
        <w:t>murine</w:t>
      </w:r>
      <w:r>
        <w:rPr>
          <w:rFonts w:ascii="Arial" w:eastAsia="Helvetica Neue" w:hAnsi="Arial" w:cs="Arial"/>
          <w:bCs/>
          <w:color w:val="000000" w:themeColor="text1"/>
          <w:sz w:val="22"/>
          <w:szCs w:val="22"/>
        </w:rPr>
        <w:t xml:space="preserve">-carrying </w:t>
      </w:r>
      <w:r w:rsidRPr="00136CAB">
        <w:rPr>
          <w:rFonts w:ascii="Arial" w:eastAsia="Helvetica Neue" w:hAnsi="Arial" w:cs="Arial"/>
          <w:bCs/>
          <w:color w:val="000000" w:themeColor="text1"/>
          <w:sz w:val="22"/>
          <w:szCs w:val="22"/>
        </w:rPr>
        <w:t>α-globin</w:t>
      </w:r>
      <w:r>
        <w:rPr>
          <w:rFonts w:ascii="Arial" w:eastAsia="Helvetica Neue" w:hAnsi="Arial" w:cs="Arial"/>
          <w:bCs/>
          <w:color w:val="000000" w:themeColor="text1"/>
          <w:sz w:val="22"/>
          <w:szCs w:val="22"/>
        </w:rPr>
        <w:t>.</w:t>
      </w:r>
      <w:r>
        <w:rPr>
          <w:rFonts w:ascii="Arial" w:eastAsia="Helvetica Neue" w:hAnsi="Arial" w:cs="Arial"/>
          <w:bCs/>
          <w:color w:val="000000" w:themeColor="text1"/>
          <w:sz w:val="22"/>
          <w:szCs w:val="22"/>
        </w:rPr>
        <w:t xml:space="preserve">, </w:t>
      </w:r>
      <w:r>
        <w:rPr>
          <w:rFonts w:ascii="Arial" w:eastAsia="Helvetica Neue" w:hAnsi="Arial" w:cs="Arial"/>
          <w:bCs/>
          <w:color w:val="000000" w:themeColor="text1"/>
          <w:sz w:val="22"/>
          <w:szCs w:val="22"/>
        </w:rPr>
        <w:t>W</w:t>
      </w:r>
      <w:r>
        <w:rPr>
          <w:rFonts w:ascii="Arial" w:eastAsia="Helvetica Neue" w:hAnsi="Arial" w:cs="Arial"/>
          <w:bCs/>
          <w:color w:val="000000" w:themeColor="text1"/>
          <w:sz w:val="22"/>
          <w:szCs w:val="22"/>
        </w:rPr>
        <w:t>e</w:t>
      </w:r>
      <w:r>
        <w:rPr>
          <w:rFonts w:ascii="Arial" w:eastAsia="Helvetica Neue" w:hAnsi="Arial" w:cs="Arial"/>
          <w:bCs/>
          <w:color w:val="000000" w:themeColor="text1"/>
          <w:sz w:val="22"/>
          <w:szCs w:val="22"/>
        </w:rPr>
        <w:t xml:space="preserve"> are currently</w:t>
      </w:r>
      <w:r>
        <w:rPr>
          <w:rFonts w:ascii="Arial" w:eastAsia="Helvetica Neue" w:hAnsi="Arial" w:cs="Arial"/>
          <w:bCs/>
          <w:color w:val="000000" w:themeColor="text1"/>
          <w:sz w:val="22"/>
          <w:szCs w:val="22"/>
        </w:rPr>
        <w:t xml:space="preserve"> assess</w:t>
      </w:r>
      <w:r>
        <w:rPr>
          <w:rFonts w:ascii="Arial" w:eastAsia="Helvetica Neue" w:hAnsi="Arial" w:cs="Arial"/>
          <w:bCs/>
          <w:color w:val="000000" w:themeColor="text1"/>
          <w:sz w:val="22"/>
          <w:szCs w:val="22"/>
        </w:rPr>
        <w:t>ing</w:t>
      </w:r>
      <w:r>
        <w:rPr>
          <w:rFonts w:ascii="Arial" w:eastAsia="Helvetica Neue" w:hAnsi="Arial" w:cs="Arial"/>
          <w:bCs/>
          <w:color w:val="000000" w:themeColor="text1"/>
          <w:sz w:val="22"/>
          <w:szCs w:val="22"/>
        </w:rPr>
        <w:t xml:space="preserve"> these newly converted murine vectors in an erythroid murine cell line, containing a large deletion of all four </w:t>
      </w:r>
      <w:r w:rsidRPr="00136CAB">
        <w:rPr>
          <w:rFonts w:ascii="Arial" w:eastAsia="Helvetica Neue" w:hAnsi="Arial" w:cs="Arial"/>
          <w:bCs/>
          <w:color w:val="000000" w:themeColor="text1"/>
          <w:sz w:val="22"/>
          <w:szCs w:val="22"/>
        </w:rPr>
        <w:t>α-globin gene</w:t>
      </w:r>
      <w:r>
        <w:rPr>
          <w:rFonts w:ascii="Arial" w:eastAsia="Helvetica Neue" w:hAnsi="Arial" w:cs="Arial"/>
          <w:bCs/>
          <w:color w:val="000000" w:themeColor="text1"/>
          <w:sz w:val="22"/>
          <w:szCs w:val="22"/>
        </w:rPr>
        <w:t xml:space="preserve">s. </w:t>
      </w:r>
      <w:r>
        <w:rPr>
          <w:rFonts w:ascii="Arial" w:eastAsia="Helvetica Neue" w:hAnsi="Arial" w:cs="Arial"/>
          <w:bCs/>
          <w:color w:val="000000" w:themeColor="text1"/>
          <w:sz w:val="22"/>
          <w:szCs w:val="22"/>
        </w:rPr>
        <w:t>Overall, these animal assays will determine the candidate clinical vector, and underpin the potential of this promising stem cell gene therapy as a curative approach for patients suffering from severe</w:t>
      </w:r>
      <w:r>
        <w:rPr>
          <w:rFonts w:ascii="Arial" w:eastAsia="Helvetica Neue" w:hAnsi="Arial" w:cs="Arial"/>
          <w:bCs/>
          <w:color w:val="000000" w:themeColor="text1"/>
          <w:sz w:val="22"/>
          <w:szCs w:val="22"/>
        </w:rPr>
        <w:t xml:space="preserve"> </w:t>
      </w:r>
      <w:r w:rsidRPr="001C138E">
        <w:rPr>
          <w:rFonts w:ascii="Arial" w:hAnsi="Arial" w:cs="Arial"/>
          <w:sz w:val="22"/>
          <w:szCs w:val="22"/>
        </w:rPr>
        <w:t>α-thalassemia</w:t>
      </w:r>
      <w:r>
        <w:rPr>
          <w:rFonts w:ascii="Arial" w:eastAsia="Helvetica Neue" w:hAnsi="Arial" w:cs="Arial"/>
          <w:bCs/>
          <w:color w:val="000000" w:themeColor="text1"/>
          <w:sz w:val="22"/>
          <w:szCs w:val="22"/>
        </w:rPr>
        <w:t xml:space="preserve">. </w:t>
      </w:r>
    </w:p>
    <w:p w14:paraId="2E186996" w14:textId="77777777" w:rsidR="001C138E" w:rsidRPr="00136CAB" w:rsidRDefault="001C138E" w:rsidP="001C138E">
      <w:pPr>
        <w:spacing w:after="40"/>
        <w:jc w:val="both"/>
        <w:rPr>
          <w:rFonts w:ascii="Arial" w:eastAsia="Helvetica Neue" w:hAnsi="Arial" w:cs="Arial"/>
          <w:bCs/>
          <w:color w:val="000000" w:themeColor="text1"/>
          <w:sz w:val="22"/>
          <w:szCs w:val="22"/>
        </w:rPr>
      </w:pPr>
    </w:p>
    <w:p w14:paraId="4ED9D43D" w14:textId="58A3334E" w:rsidR="0079179B" w:rsidRPr="001C138E" w:rsidRDefault="001C138E" w:rsidP="001C138E">
      <w:pPr>
        <w:spacing w:after="40"/>
        <w:jc w:val="both"/>
        <w:rPr>
          <w:rFonts w:ascii="Arial" w:eastAsia="Helvetica Neue" w:hAnsi="Arial" w:cs="Arial"/>
          <w:bCs/>
          <w:color w:val="000000" w:themeColor="text1"/>
          <w:sz w:val="22"/>
          <w:szCs w:val="22"/>
        </w:rPr>
      </w:pPr>
      <w:r w:rsidRPr="001C138E">
        <w:rPr>
          <w:rFonts w:ascii="Arial" w:eastAsia="Helvetica Neue" w:hAnsi="Arial" w:cs="Arial"/>
          <w:b/>
          <w:color w:val="000000" w:themeColor="text1"/>
          <w:sz w:val="22"/>
          <w:szCs w:val="22"/>
          <w:u w:val="single"/>
        </w:rPr>
        <w:t>Benefits to stem cell science</w:t>
      </w:r>
      <w:r w:rsidRPr="00136CAB">
        <w:rPr>
          <w:rFonts w:ascii="Arial" w:eastAsia="Helvetica Neue" w:hAnsi="Arial" w:cs="Arial"/>
          <w:b/>
          <w:color w:val="000000" w:themeColor="text1"/>
          <w:sz w:val="22"/>
          <w:szCs w:val="22"/>
        </w:rPr>
        <w:t xml:space="preserve">: </w:t>
      </w:r>
      <w:r w:rsidRPr="00136CAB">
        <w:rPr>
          <w:rFonts w:ascii="Arial" w:eastAsia="Helvetica Neue" w:hAnsi="Arial" w:cs="Arial"/>
          <w:bCs/>
          <w:color w:val="000000" w:themeColor="text1"/>
          <w:sz w:val="22"/>
          <w:szCs w:val="22"/>
        </w:rPr>
        <w:t xml:space="preserve">This research project will pave the way for the first development of a potential curative approach for </w:t>
      </w:r>
      <w:r w:rsidRPr="001C138E">
        <w:rPr>
          <w:rFonts w:ascii="Arial" w:hAnsi="Arial" w:cs="Arial"/>
          <w:sz w:val="22"/>
          <w:szCs w:val="22"/>
        </w:rPr>
        <w:t>α-thalassemia</w:t>
      </w:r>
      <w:r w:rsidRPr="00136CAB">
        <w:rPr>
          <w:rFonts w:ascii="Arial" w:eastAsia="Helvetica Neue" w:hAnsi="Arial" w:cs="Arial"/>
          <w:bCs/>
          <w:color w:val="000000" w:themeColor="text1"/>
          <w:sz w:val="22"/>
          <w:szCs w:val="22"/>
        </w:rPr>
        <w:t xml:space="preserve"> using the patient’s own </w:t>
      </w:r>
      <w:r>
        <w:rPr>
          <w:rFonts w:ascii="Arial" w:eastAsia="Helvetica Neue" w:hAnsi="Arial" w:cs="Arial"/>
          <w:bCs/>
          <w:color w:val="000000" w:themeColor="text1"/>
          <w:sz w:val="22"/>
          <w:szCs w:val="22"/>
        </w:rPr>
        <w:t xml:space="preserve">hematopoietic </w:t>
      </w:r>
      <w:r w:rsidRPr="00136CAB">
        <w:rPr>
          <w:rFonts w:ascii="Arial" w:eastAsia="Helvetica Neue" w:hAnsi="Arial" w:cs="Arial"/>
          <w:bCs/>
          <w:color w:val="000000" w:themeColor="text1"/>
          <w:sz w:val="22"/>
          <w:szCs w:val="22"/>
        </w:rPr>
        <w:t xml:space="preserve">stem cells. Moreover, these assays will provide further characterization of uncorrected and corrected </w:t>
      </w:r>
      <w:r>
        <w:rPr>
          <w:rFonts w:ascii="Arial" w:eastAsia="Helvetica Neue" w:hAnsi="Arial" w:cs="Arial"/>
          <w:bCs/>
          <w:color w:val="000000" w:themeColor="text1"/>
          <w:sz w:val="22"/>
          <w:szCs w:val="22"/>
        </w:rPr>
        <w:t xml:space="preserve">RBC </w:t>
      </w:r>
      <w:r w:rsidRPr="00136CAB">
        <w:rPr>
          <w:rFonts w:ascii="Arial" w:eastAsia="Helvetica Neue" w:hAnsi="Arial" w:cs="Arial"/>
          <w:bCs/>
          <w:color w:val="000000" w:themeColor="text1"/>
          <w:sz w:val="22"/>
          <w:szCs w:val="22"/>
        </w:rPr>
        <w:t xml:space="preserve">development in </w:t>
      </w:r>
      <w:r w:rsidRPr="001C138E">
        <w:rPr>
          <w:rFonts w:ascii="Arial" w:hAnsi="Arial" w:cs="Arial"/>
          <w:sz w:val="22"/>
          <w:szCs w:val="22"/>
        </w:rPr>
        <w:t>α-thalassemia</w:t>
      </w:r>
      <w:r w:rsidRPr="00136CAB">
        <w:rPr>
          <w:rFonts w:ascii="Arial" w:eastAsia="Helvetica Neue" w:hAnsi="Arial" w:cs="Arial"/>
          <w:bCs/>
          <w:color w:val="000000" w:themeColor="text1"/>
          <w:sz w:val="22"/>
          <w:szCs w:val="22"/>
        </w:rPr>
        <w:t xml:space="preserve"> patients, thereby shedding light on the characterization of the disease. Fundamentally, this research project will deepen our understanding and expertise on the usage of lentiviral vectors for stem cell gene addition treatments for immune system and blood disorders, such as β-thalassemia and sickle cell disease. </w:t>
      </w:r>
    </w:p>
    <w:sectPr w:rsidR="0079179B" w:rsidRPr="001C138E" w:rsidSect="00F725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E1"/>
    <w:rsid w:val="000F78F2"/>
    <w:rsid w:val="001C138E"/>
    <w:rsid w:val="00375F7F"/>
    <w:rsid w:val="0056249D"/>
    <w:rsid w:val="00616A70"/>
    <w:rsid w:val="00AA3157"/>
    <w:rsid w:val="00CA6C3E"/>
    <w:rsid w:val="00F72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97282F"/>
  <w15:chartTrackingRefBased/>
  <w15:docId w15:val="{87993C07-63D3-2D40-AE88-A477E1D4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5E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25E1"/>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725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Segura</dc:creator>
  <cp:keywords/>
  <dc:description/>
  <cp:lastModifiedBy>Eva Segura</cp:lastModifiedBy>
  <cp:revision>1</cp:revision>
  <dcterms:created xsi:type="dcterms:W3CDTF">2023-04-19T23:50:00Z</dcterms:created>
  <dcterms:modified xsi:type="dcterms:W3CDTF">2023-04-20T00:17:00Z</dcterms:modified>
</cp:coreProperties>
</file>