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C3C01C" w14:textId="77777777" w:rsidR="00F22A29" w:rsidRPr="00FD640D" w:rsidRDefault="00F22A29" w:rsidP="00F22A29">
      <w:pPr>
        <w:ind w:right="-149"/>
        <w:jc w:val="center"/>
        <w:rPr>
          <w:rFonts w:ascii="Arial" w:hAnsi="Arial" w:cs="Arial"/>
          <w:color w:val="000000" w:themeColor="text1"/>
          <w:sz w:val="32"/>
          <w:szCs w:val="32"/>
          <w:shd w:val="clear" w:color="auto" w:fill="FFFFFF"/>
        </w:rPr>
      </w:pPr>
      <w:r w:rsidRPr="00FD640D">
        <w:rPr>
          <w:rFonts w:cstheme="majorBidi"/>
          <w:b/>
          <w:color w:val="000000" w:themeColor="text1"/>
          <w:sz w:val="32"/>
          <w:szCs w:val="32"/>
        </w:rPr>
        <w:t xml:space="preserve">Induced Pluripotent stem cells as a model system to study disease progression in myelodysplastic syndromes </w:t>
      </w:r>
    </w:p>
    <w:p w14:paraId="34BA013E" w14:textId="5E7C82F3" w:rsidR="002B342F" w:rsidRDefault="002B342F"/>
    <w:p w14:paraId="6AD2DCA1" w14:textId="77777777" w:rsidR="00F22A29" w:rsidRPr="00FD640D" w:rsidRDefault="00F22A29" w:rsidP="00F22A29">
      <w:pPr>
        <w:spacing w:line="480" w:lineRule="auto"/>
        <w:jc w:val="both"/>
        <w:rPr>
          <w:b/>
          <w:bCs/>
          <w:sz w:val="26"/>
          <w:szCs w:val="26"/>
        </w:rPr>
      </w:pPr>
      <w:r w:rsidRPr="00FD640D">
        <w:rPr>
          <w:b/>
          <w:bCs/>
          <w:sz w:val="26"/>
          <w:szCs w:val="26"/>
        </w:rPr>
        <w:t xml:space="preserve">Abstract </w:t>
      </w:r>
    </w:p>
    <w:p w14:paraId="36670772" w14:textId="77777777" w:rsidR="00F22A29" w:rsidRPr="00FD640D" w:rsidRDefault="00F22A29" w:rsidP="00F22A29">
      <w:pPr>
        <w:spacing w:line="276" w:lineRule="auto"/>
        <w:ind w:right="-149"/>
        <w:jc w:val="both"/>
        <w:rPr>
          <w:rFonts w:cstheme="majorBidi"/>
          <w:color w:val="000000" w:themeColor="text1"/>
        </w:rPr>
      </w:pPr>
      <w:r w:rsidRPr="00FD640D">
        <w:rPr>
          <w:rFonts w:cstheme="majorBidi"/>
          <w:color w:val="000000" w:themeColor="text1"/>
          <w:shd w:val="clear" w:color="auto" w:fill="FFFFFF"/>
        </w:rPr>
        <w:t xml:space="preserve">Myelodysplastic syndromes (MDS) </w:t>
      </w:r>
      <w:r w:rsidRPr="00FD640D">
        <w:rPr>
          <w:rFonts w:cstheme="majorBidi"/>
          <w:color w:val="000000" w:themeColor="text1"/>
        </w:rPr>
        <w:t xml:space="preserve">are a heterogeneous group of </w:t>
      </w:r>
      <w:r w:rsidRPr="00FD640D">
        <w:rPr>
          <w:rFonts w:cstheme="majorBidi"/>
          <w:color w:val="000000" w:themeColor="text1"/>
          <w:shd w:val="clear" w:color="auto" w:fill="FFFFFF"/>
        </w:rPr>
        <w:t xml:space="preserve">age-associated hematopoietic diseases characterised by abnormal blood cell maturation and a high propensity for leukemic transformation. </w:t>
      </w:r>
      <w:r w:rsidRPr="00FD640D">
        <w:rPr>
          <w:rFonts w:cstheme="majorBidi"/>
          <w:color w:val="000000" w:themeColor="text1"/>
        </w:rPr>
        <w:t xml:space="preserve">It is a clonal disease thought to originate in the haematopoietic stem cell (HSC).  Therapeutic strategies in high-risk patients include demethylating agents and cytotoxic drugs, however, 50-60% of these patients do not respond to the treatment and progress to the worst stage. Therefore, there is an unmet clinical need to better understand the mechanisms leading to these blood disorders with the </w:t>
      </w:r>
      <w:proofErr w:type="gramStart"/>
      <w:r w:rsidRPr="00FD640D">
        <w:rPr>
          <w:rFonts w:cstheme="majorBidi"/>
          <w:color w:val="000000" w:themeColor="text1"/>
        </w:rPr>
        <w:t>ultimate aim</w:t>
      </w:r>
      <w:proofErr w:type="gramEnd"/>
      <w:r w:rsidRPr="00FD640D">
        <w:rPr>
          <w:rFonts w:cstheme="majorBidi"/>
          <w:color w:val="000000" w:themeColor="text1"/>
        </w:rPr>
        <w:t xml:space="preserve"> to facilitate the development of improved diagnostic and therapeutic strategies.</w:t>
      </w:r>
    </w:p>
    <w:p w14:paraId="29957D1A" w14:textId="77777777" w:rsidR="00F22A29" w:rsidRPr="00FD640D" w:rsidRDefault="00F22A29" w:rsidP="00F22A29">
      <w:pPr>
        <w:spacing w:line="276" w:lineRule="auto"/>
        <w:ind w:right="-149"/>
        <w:jc w:val="both"/>
        <w:rPr>
          <w:rFonts w:cstheme="majorBidi"/>
          <w:color w:val="000000"/>
        </w:rPr>
      </w:pPr>
      <w:r w:rsidRPr="00FD640D">
        <w:rPr>
          <w:rFonts w:cstheme="majorBidi"/>
          <w:color w:val="000000"/>
        </w:rPr>
        <w:t xml:space="preserve">By making use of somatic reprogramming and CRISPR-Cas9 tools, our goal in this study was to generate an </w:t>
      </w:r>
      <w:r w:rsidRPr="00FD640D">
        <w:rPr>
          <w:rFonts w:cstheme="majorBidi"/>
          <w:i/>
          <w:color w:val="000000"/>
        </w:rPr>
        <w:t>in vitro</w:t>
      </w:r>
      <w:r w:rsidRPr="00FD640D">
        <w:rPr>
          <w:rFonts w:cstheme="majorBidi"/>
          <w:color w:val="000000"/>
        </w:rPr>
        <w:t xml:space="preserve"> model of low-risk and high-risk MDS that could help to determine the molecular mechanisms leading to disease progression. </w:t>
      </w:r>
    </w:p>
    <w:p w14:paraId="66ED1C5E" w14:textId="77777777" w:rsidR="00F22A29" w:rsidRPr="00FD640D" w:rsidRDefault="00F22A29" w:rsidP="00F22A29">
      <w:pPr>
        <w:spacing w:line="276" w:lineRule="auto"/>
        <w:ind w:right="-149"/>
        <w:jc w:val="both"/>
        <w:rPr>
          <w:rFonts w:cstheme="majorBidi"/>
        </w:rPr>
      </w:pPr>
      <w:r w:rsidRPr="00FD640D">
        <w:rPr>
          <w:rFonts w:cstheme="majorBidi"/>
        </w:rPr>
        <w:t xml:space="preserve">Peripheral blood mononuclear cells were collected from patient MDS27 when he was diagnosed with low-risk MDS; with cells at this stage harbouring </w:t>
      </w:r>
      <w:r w:rsidRPr="00FD640D">
        <w:rPr>
          <w:rFonts w:cstheme="majorBidi"/>
          <w:i/>
          <w:iCs/>
          <w:color w:val="000000"/>
        </w:rPr>
        <w:t>ASLX1</w:t>
      </w:r>
      <w:r w:rsidRPr="00FD640D">
        <w:rPr>
          <w:rFonts w:cstheme="majorBidi"/>
          <w:color w:val="000000"/>
        </w:rPr>
        <w:t xml:space="preserve">, </w:t>
      </w:r>
      <w:r w:rsidRPr="00FD640D">
        <w:rPr>
          <w:rFonts w:cstheme="majorBidi"/>
          <w:i/>
          <w:iCs/>
          <w:color w:val="000000"/>
        </w:rPr>
        <w:t>SRSF2</w:t>
      </w:r>
      <w:r w:rsidRPr="00FD640D">
        <w:rPr>
          <w:rFonts w:cstheme="majorBidi"/>
          <w:color w:val="000000"/>
        </w:rPr>
        <w:t xml:space="preserve"> and </w:t>
      </w:r>
      <w:r w:rsidRPr="00FD640D">
        <w:rPr>
          <w:rFonts w:cstheme="majorBidi"/>
          <w:i/>
          <w:iCs/>
          <w:color w:val="000000"/>
        </w:rPr>
        <w:t xml:space="preserve">RUNX1 </w:t>
      </w:r>
      <w:r w:rsidRPr="00FD640D">
        <w:rPr>
          <w:rFonts w:cstheme="majorBidi"/>
          <w:iCs/>
          <w:color w:val="000000"/>
        </w:rPr>
        <w:t>mutations</w:t>
      </w:r>
      <w:r w:rsidRPr="00FD640D">
        <w:rPr>
          <w:rFonts w:cstheme="majorBidi"/>
        </w:rPr>
        <w:t xml:space="preserve">. These cells were used to generate </w:t>
      </w:r>
      <w:proofErr w:type="spellStart"/>
      <w:r w:rsidRPr="00FD640D">
        <w:rPr>
          <w:rFonts w:cstheme="majorBidi"/>
        </w:rPr>
        <w:t>hiPSC</w:t>
      </w:r>
      <w:proofErr w:type="spellEnd"/>
      <w:r w:rsidRPr="00FD640D">
        <w:rPr>
          <w:rFonts w:cstheme="majorBidi"/>
        </w:rPr>
        <w:t xml:space="preserve"> using the non-integrated methods; </w:t>
      </w:r>
      <w:proofErr w:type="spellStart"/>
      <w:r w:rsidRPr="00FD640D">
        <w:rPr>
          <w:rFonts w:cstheme="majorBidi"/>
        </w:rPr>
        <w:t>sendai</w:t>
      </w:r>
      <w:proofErr w:type="spellEnd"/>
      <w:r w:rsidRPr="00FD640D">
        <w:rPr>
          <w:rFonts w:cstheme="majorBidi"/>
        </w:rPr>
        <w:t xml:space="preserve"> virus and </w:t>
      </w:r>
      <w:proofErr w:type="spellStart"/>
      <w:r w:rsidRPr="00FD640D">
        <w:rPr>
          <w:rFonts w:cstheme="majorBidi"/>
        </w:rPr>
        <w:t>episomal</w:t>
      </w:r>
      <w:proofErr w:type="spellEnd"/>
      <w:r w:rsidRPr="00FD640D">
        <w:rPr>
          <w:rFonts w:cstheme="majorBidi"/>
        </w:rPr>
        <w:t xml:space="preserve">. Several clones were confirmed to harbour the same somatic mutations as the cells of origin. The pluripotent characteristics of the iPSC clones generated from patient MDS27 as well as from a </w:t>
      </w:r>
      <w:proofErr w:type="spellStart"/>
      <w:r w:rsidRPr="00FD640D">
        <w:rPr>
          <w:rFonts w:cstheme="majorBidi"/>
        </w:rPr>
        <w:t>hiPSC</w:t>
      </w:r>
      <w:proofErr w:type="spellEnd"/>
      <w:r w:rsidRPr="00FD640D">
        <w:rPr>
          <w:rFonts w:cstheme="majorBidi"/>
        </w:rPr>
        <w:t xml:space="preserve"> control line were confirmed. Furthermore, the differentiation potential of iPSC into hematopoietic progenitor cells indicated the ability of iPSC to differentiate to hematopoietic stem/progenitor cells (HSPCs) (CD34</w:t>
      </w:r>
      <w:r w:rsidRPr="00FD640D">
        <w:rPr>
          <w:rFonts w:cstheme="majorBidi"/>
          <w:vertAlign w:val="superscript"/>
        </w:rPr>
        <w:t>+</w:t>
      </w:r>
      <w:r w:rsidRPr="00FD640D">
        <w:rPr>
          <w:rFonts w:cstheme="majorBidi"/>
        </w:rPr>
        <w:t xml:space="preserve"> CD43</w:t>
      </w:r>
      <w:r w:rsidRPr="00FD640D">
        <w:rPr>
          <w:rFonts w:cstheme="majorBidi"/>
          <w:vertAlign w:val="superscript"/>
        </w:rPr>
        <w:t>+</w:t>
      </w:r>
      <w:r w:rsidRPr="00FD640D">
        <w:rPr>
          <w:rFonts w:cstheme="majorBidi"/>
        </w:rPr>
        <w:t>, CD34</w:t>
      </w:r>
      <w:r w:rsidRPr="00FD640D">
        <w:rPr>
          <w:rFonts w:cstheme="majorBidi"/>
          <w:vertAlign w:val="superscript"/>
        </w:rPr>
        <w:t xml:space="preserve">+ </w:t>
      </w:r>
      <w:r w:rsidRPr="00FD640D">
        <w:rPr>
          <w:rFonts w:cstheme="majorBidi"/>
        </w:rPr>
        <w:t>CD45</w:t>
      </w:r>
      <w:r w:rsidRPr="00FD640D">
        <w:rPr>
          <w:rFonts w:cstheme="majorBidi"/>
          <w:vertAlign w:val="superscript"/>
        </w:rPr>
        <w:t>+</w:t>
      </w:r>
      <w:r w:rsidRPr="00FD640D">
        <w:rPr>
          <w:rFonts w:cstheme="majorBidi"/>
        </w:rPr>
        <w:t xml:space="preserve">). In addition, HSPCs derived from MDS27-iPSC were able to form the different colony-forming unit (CFU) in methylcellulose semi-solid medium with less potential when compared to the </w:t>
      </w:r>
      <w:proofErr w:type="spellStart"/>
      <w:r w:rsidRPr="00FD640D">
        <w:rPr>
          <w:rFonts w:cstheme="majorBidi"/>
        </w:rPr>
        <w:t>hiPSC</w:t>
      </w:r>
      <w:proofErr w:type="spellEnd"/>
      <w:r w:rsidRPr="00FD640D">
        <w:rPr>
          <w:rFonts w:cstheme="majorBidi"/>
        </w:rPr>
        <w:t xml:space="preserve"> control. </w:t>
      </w:r>
    </w:p>
    <w:p w14:paraId="31663EC1" w14:textId="77777777" w:rsidR="00F22A29" w:rsidRPr="00FD640D" w:rsidRDefault="00F22A29" w:rsidP="00F22A29">
      <w:pPr>
        <w:spacing w:line="276" w:lineRule="auto"/>
        <w:ind w:right="-149"/>
        <w:jc w:val="both"/>
        <w:rPr>
          <w:rFonts w:cstheme="majorBidi"/>
        </w:rPr>
      </w:pPr>
      <w:r w:rsidRPr="00FD640D">
        <w:rPr>
          <w:rFonts w:cstheme="majorBidi"/>
        </w:rPr>
        <w:t xml:space="preserve">Moreover, the study of the erythroid and myeloid lineage differentiation in liquid cultures indicated that HSPCs derived from MDS27-iPSC could differentiate to such lineages but with aberrant morphology, validating our </w:t>
      </w:r>
      <w:r w:rsidRPr="00FD640D">
        <w:rPr>
          <w:rFonts w:cstheme="majorBidi"/>
          <w:i/>
        </w:rPr>
        <w:t>in vitro</w:t>
      </w:r>
      <w:r w:rsidRPr="00FD640D">
        <w:rPr>
          <w:rFonts w:cstheme="majorBidi"/>
        </w:rPr>
        <w:t xml:space="preserve"> system. To generate a model for high-risk MDS, a mutation in </w:t>
      </w:r>
      <w:r w:rsidRPr="00FD640D">
        <w:rPr>
          <w:rFonts w:cstheme="majorBidi"/>
          <w:i/>
          <w:iCs/>
        </w:rPr>
        <w:t>C/EBP</w:t>
      </w:r>
      <w:r w:rsidRPr="00FD640D">
        <w:rPr>
          <w:rFonts w:cstheme="majorBidi"/>
          <w:i/>
          <w:iCs/>
          <w:lang w:val="el-GR"/>
        </w:rPr>
        <w:t>α</w:t>
      </w:r>
      <w:r w:rsidRPr="00FD640D">
        <w:rPr>
          <w:rFonts w:cstheme="majorBidi"/>
          <w:b/>
          <w:bCs/>
          <w:lang w:val="el-GR"/>
        </w:rPr>
        <w:t xml:space="preserve"> </w:t>
      </w:r>
      <w:r w:rsidRPr="00FD640D">
        <w:rPr>
          <w:rFonts w:cstheme="majorBidi"/>
          <w:bCs/>
        </w:rPr>
        <w:t>causing disruption of the DNA binding domain was generated by CRISPR</w:t>
      </w:r>
      <w:r w:rsidRPr="00FD640D">
        <w:rPr>
          <w:rFonts w:cstheme="majorBidi"/>
          <w:b/>
          <w:bCs/>
        </w:rPr>
        <w:t xml:space="preserve"> </w:t>
      </w:r>
      <w:r w:rsidRPr="00FD640D">
        <w:rPr>
          <w:rFonts w:cstheme="majorBidi"/>
        </w:rPr>
        <w:t>in the MDS27-iPSC cells, mimicking the additional mutation observed in MDS27 cells when the patient progressed to high-risk MDS. The differentiation of </w:t>
      </w:r>
      <w:r w:rsidRPr="00FD640D">
        <w:rPr>
          <w:rFonts w:cstheme="majorBidi"/>
          <w:iCs/>
        </w:rPr>
        <w:t>the</w:t>
      </w:r>
      <w:r w:rsidRPr="00FD640D">
        <w:rPr>
          <w:rFonts w:cstheme="majorBidi"/>
          <w:i/>
          <w:iCs/>
        </w:rPr>
        <w:t xml:space="preserve"> C/EBPα</w:t>
      </w:r>
      <w:r w:rsidRPr="00FD640D">
        <w:rPr>
          <w:rFonts w:cstheme="majorBidi"/>
        </w:rPr>
        <w:t> mutant line (high-risk MDS-iPSC) showed a significant reduction in the myeloid and erythroid colony forming units (CFUs) with a block in granulocytic CFU formation. Furthermore, study of the myeloid lineage indicated that the high-risk MDS-iPSC had an impaired myeloid differentiation due to altered expression of key genes required for myeloid differentiation such as </w:t>
      </w:r>
      <w:r w:rsidRPr="00FD640D">
        <w:rPr>
          <w:rFonts w:cstheme="majorBidi"/>
          <w:i/>
          <w:iCs/>
        </w:rPr>
        <w:t>PU.1</w:t>
      </w:r>
      <w:r w:rsidRPr="00FD640D">
        <w:rPr>
          <w:rFonts w:cstheme="majorBidi"/>
        </w:rPr>
        <w:t>, </w:t>
      </w:r>
      <w:r w:rsidRPr="00FD640D">
        <w:rPr>
          <w:rFonts w:cstheme="majorBidi"/>
          <w:i/>
          <w:iCs/>
        </w:rPr>
        <w:t>GATA2</w:t>
      </w:r>
      <w:r w:rsidRPr="00FD640D">
        <w:rPr>
          <w:rFonts w:cstheme="majorBidi"/>
        </w:rPr>
        <w:t>, </w:t>
      </w:r>
      <w:r w:rsidRPr="00FD640D">
        <w:rPr>
          <w:rFonts w:cstheme="majorBidi"/>
          <w:i/>
          <w:iCs/>
        </w:rPr>
        <w:t>LMO2</w:t>
      </w:r>
      <w:r w:rsidRPr="00FD640D">
        <w:rPr>
          <w:rFonts w:cstheme="majorBidi"/>
        </w:rPr>
        <w:t> and </w:t>
      </w:r>
      <w:r w:rsidRPr="00FD640D">
        <w:rPr>
          <w:rFonts w:cstheme="majorBidi"/>
          <w:i/>
          <w:iCs/>
        </w:rPr>
        <w:t>RUNX1</w:t>
      </w:r>
      <w:r w:rsidRPr="00FD640D">
        <w:rPr>
          <w:rFonts w:cstheme="majorBidi"/>
        </w:rPr>
        <w:t xml:space="preserve">. The study of the erythroid lineage in high-risk MDS27 indicated that the four mutant genes induce erythroid differentiation, increasing the aberrant morphology.  Our approach highlights the utility of human iPSCs to understand the molecular mechanisms leading to disease progression and their use as a platform for drug screening which will help to improve diagnostic and therapeutic strategies. </w:t>
      </w:r>
    </w:p>
    <w:p w14:paraId="69B89FAF" w14:textId="77777777" w:rsidR="00F22A29" w:rsidRDefault="00F22A29"/>
    <w:sectPr w:rsidR="00F22A29" w:rsidSect="00A55A8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066873"/>
    <w:multiLevelType w:val="multilevel"/>
    <w:tmpl w:val="F47262A0"/>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22223DBA"/>
    <w:multiLevelType w:val="multilevel"/>
    <w:tmpl w:val="29A4FEF0"/>
    <w:lvl w:ilvl="0">
      <w:start w:val="1"/>
      <w:numFmt w:val="decimal"/>
      <w:pStyle w:val="Heading1"/>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right"/>
      <w:pPr>
        <w:ind w:left="5114"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35460FC5"/>
    <w:multiLevelType w:val="hybridMultilevel"/>
    <w:tmpl w:val="860AA396"/>
    <w:lvl w:ilvl="0" w:tplc="382435A0">
      <w:start w:val="1"/>
      <w:numFmt w:val="decimal"/>
      <w:lvlText w:val="1.%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2015B65"/>
    <w:multiLevelType w:val="multilevel"/>
    <w:tmpl w:val="1CB0E940"/>
    <w:lvl w:ilvl="0">
      <w:start w:val="1"/>
      <w:numFmt w:val="decimal"/>
      <w:pStyle w:val="Heading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
  </w:num>
  <w:num w:numId="2">
    <w:abstractNumId w:val="1"/>
  </w:num>
  <w:num w:numId="3">
    <w:abstractNumId w:val="2"/>
  </w:num>
  <w:num w:numId="4">
    <w:abstractNumId w:val="0"/>
  </w:num>
  <w:num w:numId="5">
    <w:abstractNumId w:val="3"/>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A29"/>
    <w:rsid w:val="00024A1D"/>
    <w:rsid w:val="00041115"/>
    <w:rsid w:val="0005657F"/>
    <w:rsid w:val="000B325B"/>
    <w:rsid w:val="0011427C"/>
    <w:rsid w:val="00131199"/>
    <w:rsid w:val="00136219"/>
    <w:rsid w:val="00150672"/>
    <w:rsid w:val="001D5261"/>
    <w:rsid w:val="001E2D15"/>
    <w:rsid w:val="00215FF2"/>
    <w:rsid w:val="00234B13"/>
    <w:rsid w:val="00241D31"/>
    <w:rsid w:val="0029738A"/>
    <w:rsid w:val="002B342F"/>
    <w:rsid w:val="002B5640"/>
    <w:rsid w:val="002C5EAC"/>
    <w:rsid w:val="002E0BB4"/>
    <w:rsid w:val="0031679D"/>
    <w:rsid w:val="003410AA"/>
    <w:rsid w:val="003411C9"/>
    <w:rsid w:val="003534B4"/>
    <w:rsid w:val="00353AC4"/>
    <w:rsid w:val="00384DA4"/>
    <w:rsid w:val="003A1D1A"/>
    <w:rsid w:val="003D26C4"/>
    <w:rsid w:val="00402693"/>
    <w:rsid w:val="0041141C"/>
    <w:rsid w:val="00420A61"/>
    <w:rsid w:val="0043162C"/>
    <w:rsid w:val="004409D8"/>
    <w:rsid w:val="004425F5"/>
    <w:rsid w:val="004633B0"/>
    <w:rsid w:val="00477A5B"/>
    <w:rsid w:val="0049653C"/>
    <w:rsid w:val="004C4E72"/>
    <w:rsid w:val="004E56E3"/>
    <w:rsid w:val="00522049"/>
    <w:rsid w:val="00555365"/>
    <w:rsid w:val="005C4BB3"/>
    <w:rsid w:val="005C5812"/>
    <w:rsid w:val="00602191"/>
    <w:rsid w:val="00602201"/>
    <w:rsid w:val="00626DB7"/>
    <w:rsid w:val="00651F48"/>
    <w:rsid w:val="006861B1"/>
    <w:rsid w:val="00687723"/>
    <w:rsid w:val="006A19AD"/>
    <w:rsid w:val="00723ECE"/>
    <w:rsid w:val="007565C1"/>
    <w:rsid w:val="00770CC9"/>
    <w:rsid w:val="007771C0"/>
    <w:rsid w:val="007815BA"/>
    <w:rsid w:val="00784344"/>
    <w:rsid w:val="00792925"/>
    <w:rsid w:val="007D4FAD"/>
    <w:rsid w:val="007F5F36"/>
    <w:rsid w:val="00836B6C"/>
    <w:rsid w:val="00841F6B"/>
    <w:rsid w:val="008431BA"/>
    <w:rsid w:val="00873D7C"/>
    <w:rsid w:val="008C4DEA"/>
    <w:rsid w:val="009250F6"/>
    <w:rsid w:val="00933419"/>
    <w:rsid w:val="00943D76"/>
    <w:rsid w:val="009506BD"/>
    <w:rsid w:val="009545EA"/>
    <w:rsid w:val="00981881"/>
    <w:rsid w:val="0098213C"/>
    <w:rsid w:val="0099727F"/>
    <w:rsid w:val="009C1BD8"/>
    <w:rsid w:val="009C694C"/>
    <w:rsid w:val="009F584A"/>
    <w:rsid w:val="00A2284C"/>
    <w:rsid w:val="00A2437D"/>
    <w:rsid w:val="00A30AE5"/>
    <w:rsid w:val="00A3280E"/>
    <w:rsid w:val="00A4243C"/>
    <w:rsid w:val="00A559C4"/>
    <w:rsid w:val="00A55A85"/>
    <w:rsid w:val="00A60402"/>
    <w:rsid w:val="00AF4FFE"/>
    <w:rsid w:val="00AF7915"/>
    <w:rsid w:val="00B27D46"/>
    <w:rsid w:val="00B32FF2"/>
    <w:rsid w:val="00B415C7"/>
    <w:rsid w:val="00B44B89"/>
    <w:rsid w:val="00B905DC"/>
    <w:rsid w:val="00BC248F"/>
    <w:rsid w:val="00BC6175"/>
    <w:rsid w:val="00BD018E"/>
    <w:rsid w:val="00BF5CFD"/>
    <w:rsid w:val="00C14610"/>
    <w:rsid w:val="00C14690"/>
    <w:rsid w:val="00C1797A"/>
    <w:rsid w:val="00C26CDB"/>
    <w:rsid w:val="00C47338"/>
    <w:rsid w:val="00C52D70"/>
    <w:rsid w:val="00C95B95"/>
    <w:rsid w:val="00CA0FA6"/>
    <w:rsid w:val="00CB6541"/>
    <w:rsid w:val="00CB6BEE"/>
    <w:rsid w:val="00CE071C"/>
    <w:rsid w:val="00CE454A"/>
    <w:rsid w:val="00D2037E"/>
    <w:rsid w:val="00D560FA"/>
    <w:rsid w:val="00D76053"/>
    <w:rsid w:val="00DA135A"/>
    <w:rsid w:val="00DA1A79"/>
    <w:rsid w:val="00DB4125"/>
    <w:rsid w:val="00DE6A91"/>
    <w:rsid w:val="00E27B54"/>
    <w:rsid w:val="00E30BA9"/>
    <w:rsid w:val="00E53B6B"/>
    <w:rsid w:val="00E63118"/>
    <w:rsid w:val="00E85261"/>
    <w:rsid w:val="00E86387"/>
    <w:rsid w:val="00EB2B63"/>
    <w:rsid w:val="00EC05B6"/>
    <w:rsid w:val="00EC2D8A"/>
    <w:rsid w:val="00EE051A"/>
    <w:rsid w:val="00F02E72"/>
    <w:rsid w:val="00F22A29"/>
    <w:rsid w:val="00F319E1"/>
    <w:rsid w:val="00F37A7F"/>
    <w:rsid w:val="00F848CB"/>
    <w:rsid w:val="00FB38AC"/>
    <w:rsid w:val="00FD1EA0"/>
    <w:rsid w:val="00FE798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4:docId w14:val="32D2A3A2"/>
  <w15:chartTrackingRefBased/>
  <w15:docId w15:val="{99CF14A7-A946-0349-8847-D70FDC24B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2A29"/>
    <w:rPr>
      <w:rFonts w:ascii="Times New Roman" w:eastAsia="Times New Roman" w:hAnsi="Times New Roman" w:cs="Times New Roman"/>
      <w:lang w:eastAsia="en-GB"/>
    </w:rPr>
  </w:style>
  <w:style w:type="paragraph" w:styleId="Heading1">
    <w:name w:val="heading 1"/>
    <w:basedOn w:val="Normal"/>
    <w:next w:val="Normal"/>
    <w:link w:val="Heading1Char"/>
    <w:autoRedefine/>
    <w:uiPriority w:val="9"/>
    <w:qFormat/>
    <w:rsid w:val="00C95B95"/>
    <w:pPr>
      <w:keepNext/>
      <w:keepLines/>
      <w:numPr>
        <w:numId w:val="2"/>
      </w:numPr>
      <w:spacing w:before="240" w:line="480" w:lineRule="auto"/>
      <w:outlineLvl w:val="0"/>
    </w:pPr>
    <w:rPr>
      <w:rFonts w:asciiTheme="majorBidi" w:eastAsiaTheme="majorEastAsia" w:hAnsiTheme="majorBidi" w:cstheme="majorBidi"/>
      <w:b/>
      <w:color w:val="000000" w:themeColor="text1"/>
      <w:sz w:val="26"/>
      <w:szCs w:val="32"/>
      <w:lang w:eastAsia="en-US"/>
    </w:rPr>
  </w:style>
  <w:style w:type="paragraph" w:styleId="Heading3">
    <w:name w:val="heading 3"/>
    <w:basedOn w:val="Normal"/>
    <w:next w:val="Normal"/>
    <w:link w:val="Heading3Char"/>
    <w:autoRedefine/>
    <w:uiPriority w:val="9"/>
    <w:unhideWhenUsed/>
    <w:qFormat/>
    <w:rsid w:val="00C95B95"/>
    <w:pPr>
      <w:keepNext/>
      <w:keepLines/>
      <w:numPr>
        <w:numId w:val="5"/>
      </w:numPr>
      <w:spacing w:before="40" w:after="120"/>
      <w:jc w:val="both"/>
      <w:outlineLvl w:val="2"/>
    </w:pPr>
    <w:rPr>
      <w:rFonts w:asciiTheme="majorBidi" w:eastAsiaTheme="majorEastAsia" w:hAnsiTheme="majorBidi" w:cstheme="majorBidi"/>
      <w:b/>
      <w:bCs/>
      <w:color w:val="000000" w:themeColor="text1"/>
      <w:sz w:val="26"/>
      <w:szCs w:val="26"/>
    </w:rPr>
  </w:style>
  <w:style w:type="paragraph" w:styleId="Heading4">
    <w:name w:val="heading 4"/>
    <w:basedOn w:val="Normal"/>
    <w:next w:val="Normal"/>
    <w:link w:val="Heading4Char"/>
    <w:autoRedefine/>
    <w:uiPriority w:val="9"/>
    <w:unhideWhenUsed/>
    <w:qFormat/>
    <w:rsid w:val="00C95B95"/>
    <w:pPr>
      <w:keepNext/>
      <w:keepLines/>
      <w:numPr>
        <w:ilvl w:val="3"/>
        <w:numId w:val="6"/>
      </w:numPr>
      <w:spacing w:before="40" w:after="120" w:line="480" w:lineRule="auto"/>
      <w:jc w:val="both"/>
      <w:outlineLvl w:val="3"/>
    </w:pPr>
    <w:rPr>
      <w:rFonts w:asciiTheme="majorBidi" w:eastAsiaTheme="majorEastAsia" w:hAnsiTheme="majorBidi" w:cstheme="majorBidi"/>
      <w:b/>
      <w:iCs/>
      <w:color w:val="000000" w:themeColor="text1"/>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4125"/>
    <w:rPr>
      <w:rFonts w:asciiTheme="majorBidi" w:eastAsiaTheme="majorEastAsia" w:hAnsiTheme="majorBidi" w:cstheme="majorBidi"/>
      <w:b/>
      <w:color w:val="000000" w:themeColor="text1"/>
      <w:sz w:val="26"/>
      <w:szCs w:val="32"/>
    </w:rPr>
  </w:style>
  <w:style w:type="character" w:customStyle="1" w:styleId="Heading3Char">
    <w:name w:val="Heading 3 Char"/>
    <w:basedOn w:val="DefaultParagraphFont"/>
    <w:link w:val="Heading3"/>
    <w:uiPriority w:val="9"/>
    <w:rsid w:val="00C95B95"/>
    <w:rPr>
      <w:rFonts w:asciiTheme="majorBidi" w:eastAsiaTheme="majorEastAsia" w:hAnsiTheme="majorBidi" w:cstheme="majorBidi"/>
      <w:b/>
      <w:bCs/>
      <w:color w:val="000000" w:themeColor="text1"/>
      <w:sz w:val="26"/>
      <w:szCs w:val="26"/>
      <w:lang w:eastAsia="en-GB"/>
    </w:rPr>
  </w:style>
  <w:style w:type="character" w:customStyle="1" w:styleId="Heading4Char">
    <w:name w:val="Heading 4 Char"/>
    <w:basedOn w:val="DefaultParagraphFont"/>
    <w:link w:val="Heading4"/>
    <w:uiPriority w:val="9"/>
    <w:rsid w:val="00C95B95"/>
    <w:rPr>
      <w:rFonts w:asciiTheme="majorBidi" w:eastAsiaTheme="majorEastAsia" w:hAnsiTheme="majorBidi" w:cstheme="majorBidi"/>
      <w:b/>
      <w:iCs/>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489</Words>
  <Characters>2791</Characters>
  <Application>Microsoft Office Word</Application>
  <DocSecurity>0</DocSecurity>
  <Lines>23</Lines>
  <Paragraphs>6</Paragraphs>
  <ScaleCrop>false</ScaleCrop>
  <Company/>
  <LinksUpToDate>false</LinksUpToDate>
  <CharactersWithSpaces>3274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Ruba al Maghrabi (PhD Cancer + Genomic FT (C400))</dc:creator>
  <cp:keywords/>
  <dc:description/>
  <cp:lastModifiedBy>Ruba al Maghrabi (PhD Cancer + Genomic FT (C400))</cp:lastModifiedBy>
  <cp:revision>1</cp:revision>
  <dcterms:created xsi:type="dcterms:W3CDTF">2022-02-16T13:55:00Z</dcterms:created>
  <dcterms:modified xsi:type="dcterms:W3CDTF">2022-02-16T13:57:00Z</dcterms:modified>
</cp:coreProperties>
</file>