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40C56" w:rsidP="00494130">
      <w:pPr>
        <w:pStyle w:val="Titolo1"/>
        <w:spacing w:before="170"/>
        <w:ind w:left="0"/>
      </w:pPr>
      <w:r>
        <w:rPr>
          <w:color w:val="337AB7"/>
        </w:rPr>
        <w:t>How to pick optimized stem cells and enhance their differentiation for bone graft cells using artificial ligands for purinergic receptors</w:t>
      </w:r>
    </w:p>
    <w:p w:rsidR="00B43295" w:rsidRDefault="00C40C56" w:rsidP="005973B9">
      <w:pPr>
        <w:pStyle w:val="Corpotesto"/>
        <w:spacing w:before="73" w:line="198" w:lineRule="exact"/>
        <w:ind w:left="100" w:right="5987"/>
        <w:rPr>
          <w:rFonts w:ascii="Arial"/>
        </w:rPr>
      </w:pPr>
      <w:r>
        <w:rPr>
          <w:rFonts w:ascii="Arial"/>
        </w:rPr>
        <w:t xml:space="preserve">Edda </w:t>
      </w:r>
      <w:proofErr w:type="spellStart"/>
      <w:r>
        <w:rPr>
          <w:rFonts w:ascii="Arial"/>
        </w:rPr>
        <w:t>Tobiasch</w:t>
      </w:r>
      <w:proofErr w:type="spellEnd"/>
      <w:r>
        <w:rPr>
          <w:rFonts w:ascii="Arial"/>
        </w:rPr>
        <w:t>, PhD</w:t>
      </w:r>
      <w:r w:rsidR="00B43295">
        <w:rPr>
          <w:rFonts w:ascii="Arial"/>
        </w:rPr>
        <w:t>,</w:t>
      </w:r>
      <w:r w:rsidR="005973B9">
        <w:rPr>
          <w:rFonts w:ascii="Arial"/>
        </w:rPr>
        <w:t xml:space="preserve"> </w:t>
      </w:r>
      <w:r w:rsidR="00B43295">
        <w:rPr>
          <w:rFonts w:ascii="Arial"/>
        </w:rPr>
        <w:t xml:space="preserve">H-BRS, Germany </w:t>
      </w:r>
    </w:p>
    <w:p w:rsidR="005973B9" w:rsidRDefault="00B43295" w:rsidP="005973B9">
      <w:pPr>
        <w:pStyle w:val="Corpotesto"/>
        <w:spacing w:before="73" w:line="198" w:lineRule="exact"/>
        <w:ind w:left="100" w:right="5987"/>
        <w:rPr>
          <w:rFonts w:ascii="Arial"/>
        </w:rPr>
      </w:pPr>
      <w:r>
        <w:rPr>
          <w:rFonts w:ascii="Arial"/>
        </w:rPr>
        <w:t xml:space="preserve">Margit Schulze, PhD, </w:t>
      </w:r>
      <w:r>
        <w:rPr>
          <w:rFonts w:ascii="Arial"/>
        </w:rPr>
        <w:t>H-BRS, Germany</w:t>
      </w:r>
    </w:p>
    <w:p w:rsidR="00AE3E37" w:rsidRDefault="00AE3E37">
      <w:pPr>
        <w:pStyle w:val="Corpotesto"/>
        <w:rPr>
          <w:rFonts w:ascii="Arial"/>
          <w:sz w:val="20"/>
        </w:rPr>
      </w:pPr>
    </w:p>
    <w:p w:rsidR="00AE3E37" w:rsidRDefault="00AE3E37">
      <w:pPr>
        <w:pStyle w:val="Corpotes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t>Abstract</w:t>
      </w:r>
    </w:p>
    <w:p w:rsidR="00917BBC" w:rsidRPr="00917BBC" w:rsidRDefault="00917BBC" w:rsidP="00917BBC">
      <w:pPr>
        <w:pStyle w:val="NormaleWeb"/>
        <w:spacing w:before="90" w:beforeAutospacing="0" w:after="0" w:afterAutospacing="0" w:line="281" w:lineRule="auto"/>
        <w:jc w:val="both"/>
        <w:rPr>
          <w:color w:val="161411"/>
          <w:sz w:val="18"/>
          <w:szCs w:val="18"/>
          <w:lang w:val="en-US"/>
        </w:rPr>
      </w:pPr>
      <w:r w:rsidRPr="00917BBC">
        <w:rPr>
          <w:sz w:val="18"/>
          <w:szCs w:val="18"/>
          <w:lang w:val="en-US"/>
        </w:rPr>
        <w:t xml:space="preserve">Autologous bone grafts are still </w:t>
      </w:r>
      <w:r w:rsidRPr="00917BBC">
        <w:rPr>
          <w:color w:val="000000"/>
          <w:sz w:val="18"/>
          <w:szCs w:val="18"/>
          <w:shd w:val="clear" w:color="auto" w:fill="FFFFFF"/>
          <w:lang w:val="en-US"/>
        </w:rPr>
        <w:t xml:space="preserve">considered </w:t>
      </w:r>
      <w:proofErr w:type="gramStart"/>
      <w:r w:rsidRPr="00917BBC">
        <w:rPr>
          <w:color w:val="000000"/>
          <w:sz w:val="18"/>
          <w:szCs w:val="18"/>
          <w:shd w:val="clear" w:color="auto" w:fill="FFFFFF"/>
          <w:lang w:val="en-US"/>
        </w:rPr>
        <w:t>to be the</w:t>
      </w:r>
      <w:proofErr w:type="gramEnd"/>
      <w:r w:rsidRPr="00917BBC">
        <w:rPr>
          <w:color w:val="000000"/>
          <w:sz w:val="18"/>
          <w:szCs w:val="18"/>
          <w:shd w:val="clear" w:color="auto" w:fill="FFFFFF"/>
          <w:lang w:val="en-US"/>
        </w:rPr>
        <w:t xml:space="preserve"> gold standard for critical size bone defects treatment due to their </w:t>
      </w:r>
      <w:proofErr w:type="spellStart"/>
      <w:r w:rsidRPr="00917BBC">
        <w:rPr>
          <w:color w:val="000000"/>
          <w:sz w:val="18"/>
          <w:szCs w:val="18"/>
          <w:shd w:val="clear" w:color="auto" w:fill="FFFFFF"/>
          <w:lang w:val="en-US"/>
        </w:rPr>
        <w:t>osteoconductive</w:t>
      </w:r>
      <w:proofErr w:type="spellEnd"/>
      <w:r w:rsidRPr="00917BBC">
        <w:rPr>
          <w:color w:val="000000"/>
          <w:sz w:val="18"/>
          <w:szCs w:val="18"/>
          <w:shd w:val="clear" w:color="auto" w:fill="FFFFFF"/>
          <w:lang w:val="en-US"/>
        </w:rPr>
        <w:t xml:space="preserve">, </w:t>
      </w:r>
      <w:proofErr w:type="spellStart"/>
      <w:r w:rsidRPr="00917BBC">
        <w:rPr>
          <w:color w:val="000000"/>
          <w:sz w:val="18"/>
          <w:szCs w:val="18"/>
          <w:shd w:val="clear" w:color="auto" w:fill="FFFFFF"/>
          <w:lang w:val="en-US"/>
        </w:rPr>
        <w:t>osteoinductive</w:t>
      </w:r>
      <w:proofErr w:type="spellEnd"/>
      <w:r w:rsidRPr="00917BBC">
        <w:rPr>
          <w:color w:val="000000"/>
          <w:sz w:val="18"/>
          <w:szCs w:val="18"/>
          <w:shd w:val="clear" w:color="auto" w:fill="FFFFFF"/>
          <w:lang w:val="en-US"/>
        </w:rPr>
        <w:t xml:space="preserve"> and </w:t>
      </w:r>
      <w:proofErr w:type="spellStart"/>
      <w:r w:rsidRPr="00917BBC">
        <w:rPr>
          <w:color w:val="000000"/>
          <w:sz w:val="18"/>
          <w:szCs w:val="18"/>
          <w:shd w:val="clear" w:color="auto" w:fill="FFFFFF"/>
          <w:lang w:val="en-US"/>
        </w:rPr>
        <w:t>osteogenetic</w:t>
      </w:r>
      <w:proofErr w:type="spellEnd"/>
      <w:r w:rsidRPr="00917BBC">
        <w:rPr>
          <w:color w:val="000000"/>
          <w:sz w:val="18"/>
          <w:szCs w:val="18"/>
          <w:shd w:val="clear" w:color="auto" w:fill="FFFFFF"/>
          <w:lang w:val="en-US"/>
        </w:rPr>
        <w:t xml:space="preserve"> properties. </w:t>
      </w:r>
      <w:proofErr w:type="gramStart"/>
      <w:r w:rsidRPr="00917BBC">
        <w:rPr>
          <w:color w:val="000000"/>
          <w:sz w:val="18"/>
          <w:szCs w:val="18"/>
          <w:shd w:val="clear" w:color="auto" w:fill="FFFFFF"/>
          <w:lang w:val="en-US"/>
        </w:rPr>
        <w:t>However</w:t>
      </w:r>
      <w:proofErr w:type="gramEnd"/>
      <w:r w:rsidRPr="00917BBC">
        <w:rPr>
          <w:color w:val="000000"/>
          <w:sz w:val="18"/>
          <w:szCs w:val="18"/>
          <w:shd w:val="clear" w:color="auto" w:fill="FFFFFF"/>
          <w:lang w:val="en-US"/>
        </w:rPr>
        <w:t xml:space="preserve"> autograft procedures have several disadvantages such as e.g. a limited amount of available bone and an associated morbidity. On the other hand, mesenchymal stem cells </w:t>
      </w:r>
      <w:proofErr w:type="gramStart"/>
      <w:r w:rsidRPr="00917BBC">
        <w:rPr>
          <w:color w:val="000000"/>
          <w:sz w:val="18"/>
          <w:szCs w:val="18"/>
          <w:shd w:val="clear" w:color="auto" w:fill="FFFFFF"/>
          <w:lang w:val="en-US"/>
        </w:rPr>
        <w:t>are already used</w:t>
      </w:r>
      <w:proofErr w:type="gramEnd"/>
      <w:r w:rsidRPr="00917BBC">
        <w:rPr>
          <w:color w:val="000000"/>
          <w:sz w:val="18"/>
          <w:szCs w:val="18"/>
          <w:shd w:val="clear" w:color="auto" w:fill="FFFFFF"/>
          <w:lang w:val="en-US"/>
        </w:rPr>
        <w:t xml:space="preserve"> in transplantation for various regenerative approaches and show the potential of healing mechanisms. </w:t>
      </w:r>
      <w:r w:rsidRPr="00917BBC">
        <w:rPr>
          <w:color w:val="161411"/>
          <w:sz w:val="18"/>
          <w:szCs w:val="18"/>
          <w:lang w:val="en-US"/>
        </w:rPr>
        <w:t xml:space="preserve">Although (differentiated) stem cells combined with a tailored biomaterial might therefore be a reasonable good approach, several hurdles still have to </w:t>
      </w:r>
      <w:proofErr w:type="gramStart"/>
      <w:r w:rsidRPr="00917BBC">
        <w:rPr>
          <w:color w:val="161411"/>
          <w:sz w:val="18"/>
          <w:szCs w:val="18"/>
          <w:lang w:val="en-US"/>
        </w:rPr>
        <w:t>be overcome</w:t>
      </w:r>
      <w:proofErr w:type="gramEnd"/>
      <w:r w:rsidRPr="00917BBC">
        <w:rPr>
          <w:color w:val="161411"/>
          <w:sz w:val="18"/>
          <w:szCs w:val="18"/>
          <w:lang w:val="en-US"/>
        </w:rPr>
        <w:t xml:space="preserve"> to provide adequate results in the future. </w:t>
      </w:r>
      <w:r w:rsidRPr="00917BBC">
        <w:rPr>
          <w:color w:val="000000"/>
          <w:sz w:val="18"/>
          <w:szCs w:val="18"/>
          <w:shd w:val="clear" w:color="auto" w:fill="FFFFFF"/>
          <w:lang w:val="en-US"/>
        </w:rPr>
        <w:t xml:space="preserve">While mesenchymal stem cells (MSCs) can presumably restore the </w:t>
      </w:r>
      <w:proofErr w:type="spellStart"/>
      <w:r w:rsidRPr="00917BBC">
        <w:rPr>
          <w:color w:val="000000"/>
          <w:sz w:val="18"/>
          <w:szCs w:val="18"/>
          <w:shd w:val="clear" w:color="auto" w:fill="FFFFFF"/>
          <w:lang w:val="en-US"/>
        </w:rPr>
        <w:t>osteogenetic</w:t>
      </w:r>
      <w:proofErr w:type="spellEnd"/>
      <w:r w:rsidRPr="00917BBC">
        <w:rPr>
          <w:color w:val="000000"/>
          <w:sz w:val="18"/>
          <w:szCs w:val="18"/>
          <w:shd w:val="clear" w:color="auto" w:fill="FFFFFF"/>
          <w:lang w:val="en-US"/>
        </w:rPr>
        <w:t xml:space="preserve"> and </w:t>
      </w:r>
      <w:proofErr w:type="spellStart"/>
      <w:r w:rsidRPr="00917BBC">
        <w:rPr>
          <w:color w:val="000000"/>
          <w:sz w:val="18"/>
          <w:szCs w:val="18"/>
          <w:shd w:val="clear" w:color="auto" w:fill="FFFFFF"/>
          <w:lang w:val="en-US"/>
        </w:rPr>
        <w:t>osteoinductive</w:t>
      </w:r>
      <w:proofErr w:type="spellEnd"/>
      <w:r w:rsidRPr="00917BBC">
        <w:rPr>
          <w:color w:val="000000"/>
          <w:sz w:val="18"/>
          <w:szCs w:val="18"/>
          <w:shd w:val="clear" w:color="auto" w:fill="FFFFFF"/>
          <w:lang w:val="en-US"/>
        </w:rPr>
        <w:t xml:space="preserve"> properties in bone grafts, they never differentiate altogether fully </w:t>
      </w:r>
      <w:r w:rsidRPr="00917BBC">
        <w:rPr>
          <w:i/>
          <w:color w:val="000000"/>
          <w:sz w:val="18"/>
          <w:szCs w:val="18"/>
          <w:shd w:val="clear" w:color="auto" w:fill="FFFFFF"/>
          <w:lang w:val="en-US"/>
        </w:rPr>
        <w:t>in vitro</w:t>
      </w:r>
      <w:r w:rsidRPr="00917BBC">
        <w:rPr>
          <w:color w:val="000000"/>
          <w:sz w:val="18"/>
          <w:szCs w:val="18"/>
          <w:shd w:val="clear" w:color="auto" w:fill="FFFFFF"/>
          <w:lang w:val="en-US"/>
        </w:rPr>
        <w:t>. Is has therefore been suggested that those which do not differentiate, might be already committed towards another lineage of differentiation.</w:t>
      </w:r>
    </w:p>
    <w:p w:rsidR="00917BBC" w:rsidRPr="004F1FC6" w:rsidRDefault="00917BBC" w:rsidP="00917BBC">
      <w:pPr>
        <w:pStyle w:val="NormaleWeb"/>
        <w:spacing w:before="90" w:beforeAutospacing="0" w:after="0" w:afterAutospacing="0" w:line="281" w:lineRule="auto"/>
        <w:jc w:val="both"/>
        <w:rPr>
          <w:rFonts w:ascii="Tw Cen MT" w:hAnsi="Tw Cen MT" w:cs="Arial"/>
          <w:sz w:val="18"/>
          <w:szCs w:val="18"/>
          <w:lang w:val="en-US"/>
        </w:rPr>
      </w:pPr>
      <w:r w:rsidRPr="00917BBC">
        <w:rPr>
          <w:sz w:val="18"/>
          <w:szCs w:val="18"/>
          <w:lang w:val="en-US"/>
        </w:rPr>
        <w:t xml:space="preserve">We have shown recently that adult stem cells derived from dental follicles are pre-committed towards the osteogenic lineage. However, the availability of these cells derived from wisdom teeth is restricted to very young donors. </w:t>
      </w:r>
      <w:proofErr w:type="gramStart"/>
      <w:r w:rsidRPr="00917BBC">
        <w:rPr>
          <w:color w:val="161411"/>
          <w:sz w:val="18"/>
          <w:szCs w:val="18"/>
          <w:lang w:val="en-US"/>
        </w:rPr>
        <w:t>Therefore</w:t>
      </w:r>
      <w:proofErr w:type="gramEnd"/>
      <w:r w:rsidRPr="00917BBC">
        <w:rPr>
          <w:color w:val="161411"/>
          <w:sz w:val="18"/>
          <w:szCs w:val="18"/>
          <w:lang w:val="en-US"/>
        </w:rPr>
        <w:t xml:space="preserve"> we focused on mesenchymal stem cells from various body parts and induced pluripotent stem cells (iPSC) cells and compared their suitability during differentiation into several lineages with emphasis on osteogenesis and angiogenesis. </w:t>
      </w:r>
      <w:r w:rsidRPr="00917BBC">
        <w:rPr>
          <w:sz w:val="18"/>
          <w:szCs w:val="18"/>
          <w:lang w:val="en-US"/>
        </w:rPr>
        <w:t xml:space="preserve">In addition the osteogenic and </w:t>
      </w:r>
      <w:proofErr w:type="spellStart"/>
      <w:r w:rsidRPr="00917BBC">
        <w:rPr>
          <w:sz w:val="18"/>
          <w:szCs w:val="18"/>
          <w:lang w:val="en-US"/>
        </w:rPr>
        <w:t>angiogenic</w:t>
      </w:r>
      <w:proofErr w:type="spellEnd"/>
      <w:r w:rsidRPr="00917BBC">
        <w:rPr>
          <w:sz w:val="18"/>
          <w:szCs w:val="18"/>
          <w:lang w:val="en-US"/>
        </w:rPr>
        <w:t xml:space="preserve"> capacity of these cells was enhanced using specific artificial ligands for purinergic receptors to further optimize the result for an improved and safer potential bone graft using scaffolds and adult stem cells in future tissue engineering</w:t>
      </w:r>
      <w:r w:rsidRPr="004F1FC6">
        <w:rPr>
          <w:rFonts w:ascii="Tw Cen MT" w:hAnsi="Tw Cen MT" w:cs="Arial"/>
          <w:sz w:val="18"/>
          <w:szCs w:val="18"/>
          <w:lang w:val="en-US"/>
        </w:rPr>
        <w:t>.</w:t>
      </w:r>
    </w:p>
    <w:p w:rsidR="00AE3E37" w:rsidRDefault="00A9710C">
      <w:pPr>
        <w:pStyle w:val="Titolo3"/>
        <w:spacing w:before="74"/>
      </w:pPr>
      <w:r>
        <w:rPr>
          <w:b w:val="0"/>
        </w:rPr>
        <w:br w:type="column"/>
      </w:r>
      <w:r>
        <w:rPr>
          <w:color w:val="BF5A14"/>
        </w:rPr>
        <w:t>Image</w:t>
      </w:r>
    </w:p>
    <w:p w:rsidR="00AE3E37" w:rsidRDefault="00C459DC">
      <w:pPr>
        <w:pStyle w:val="Corpotesto"/>
        <w:spacing w:before="2"/>
        <w:rPr>
          <w:rFonts w:ascii="Arial"/>
          <w:b/>
          <w:sz w:val="16"/>
        </w:rPr>
      </w:pPr>
      <w:r>
        <w:rPr>
          <w:rFonts w:ascii="Arial"/>
          <w:b/>
          <w:noProof/>
          <w:sz w:val="16"/>
          <w:lang w:val="it-IT" w:eastAsia="it-IT"/>
        </w:rPr>
        <w:drawing>
          <wp:inline distT="0" distB="0" distL="0" distR="0">
            <wp:extent cx="3328035" cy="2375073"/>
            <wp:effectExtent l="0" t="0" r="5715"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ma bone graft.jpg"/>
                    <pic:cNvPicPr/>
                  </pic:nvPicPr>
                  <pic:blipFill rotWithShape="1">
                    <a:blip r:embed="rId9" cstate="print">
                      <a:extLst>
                        <a:ext uri="{28A0092B-C50C-407E-A947-70E740481C1C}">
                          <a14:useLocalDpi xmlns:a14="http://schemas.microsoft.com/office/drawing/2010/main" val="0"/>
                        </a:ext>
                      </a:extLst>
                    </a:blip>
                    <a:srcRect l="14744" r="16951" b="13338"/>
                    <a:stretch/>
                  </pic:blipFill>
                  <pic:spPr bwMode="auto">
                    <a:xfrm>
                      <a:off x="0" y="0"/>
                      <a:ext cx="3339830" cy="2383491"/>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1417" w:rsidRPr="00374AA7" w:rsidRDefault="00591417" w:rsidP="00591417">
      <w:pPr>
        <w:pStyle w:val="Intestazione"/>
        <w:widowControl/>
        <w:numPr>
          <w:ilvl w:val="0"/>
          <w:numId w:val="4"/>
        </w:numPr>
        <w:tabs>
          <w:tab w:val="clear" w:pos="720"/>
          <w:tab w:val="clear" w:pos="4513"/>
          <w:tab w:val="clear" w:pos="9026"/>
        </w:tabs>
        <w:autoSpaceDE w:val="0"/>
        <w:autoSpaceDN w:val="0"/>
        <w:adjustRightInd w:val="0"/>
        <w:spacing w:before="85" w:line="216" w:lineRule="exact"/>
        <w:ind w:left="357" w:hanging="357"/>
        <w:jc w:val="both"/>
        <w:rPr>
          <w:rFonts w:asciiTheme="minorHAnsi" w:hAnsiTheme="minorHAnsi" w:cs="Arial"/>
          <w:sz w:val="18"/>
          <w:szCs w:val="18"/>
          <w:lang w:val="en-GB"/>
        </w:rPr>
      </w:pPr>
      <w:r w:rsidRPr="00374AA7">
        <w:rPr>
          <w:rFonts w:asciiTheme="minorHAnsi" w:hAnsiTheme="minorHAnsi" w:cs="Arial"/>
          <w:color w:val="000000"/>
          <w:sz w:val="18"/>
          <w:szCs w:val="18"/>
          <w:lang w:val="en-GB"/>
        </w:rPr>
        <w:t xml:space="preserve">Zippel N, </w:t>
      </w:r>
      <w:proofErr w:type="spellStart"/>
      <w:r w:rsidRPr="00374AA7">
        <w:rPr>
          <w:rFonts w:asciiTheme="minorHAnsi" w:hAnsiTheme="minorHAnsi" w:cs="Arial"/>
          <w:color w:val="000000"/>
          <w:sz w:val="18"/>
          <w:szCs w:val="18"/>
          <w:lang w:val="en-GB"/>
        </w:rPr>
        <w:t>Limbach</w:t>
      </w:r>
      <w:proofErr w:type="spellEnd"/>
      <w:r w:rsidRPr="00374AA7">
        <w:rPr>
          <w:rFonts w:asciiTheme="minorHAnsi" w:hAnsiTheme="minorHAnsi" w:cs="Arial"/>
          <w:color w:val="000000"/>
          <w:sz w:val="18"/>
          <w:szCs w:val="18"/>
          <w:lang w:val="en-GB"/>
        </w:rPr>
        <w:t xml:space="preserve"> CA, </w:t>
      </w:r>
      <w:proofErr w:type="spellStart"/>
      <w:r w:rsidRPr="00374AA7">
        <w:rPr>
          <w:rFonts w:asciiTheme="minorHAnsi" w:hAnsiTheme="minorHAnsi" w:cs="Arial"/>
          <w:color w:val="000000"/>
          <w:sz w:val="18"/>
          <w:szCs w:val="18"/>
          <w:lang w:val="en-GB"/>
        </w:rPr>
        <w:t>Ratajski</w:t>
      </w:r>
      <w:proofErr w:type="spellEnd"/>
      <w:r w:rsidRPr="00374AA7">
        <w:rPr>
          <w:rFonts w:asciiTheme="minorHAnsi" w:hAnsiTheme="minorHAnsi" w:cs="Arial"/>
          <w:color w:val="000000"/>
          <w:sz w:val="18"/>
          <w:szCs w:val="18"/>
          <w:lang w:val="en-GB"/>
        </w:rPr>
        <w:t xml:space="preserve"> N, Urban C, Luparello C, </w:t>
      </w:r>
      <w:proofErr w:type="spellStart"/>
      <w:r w:rsidRPr="00374AA7">
        <w:rPr>
          <w:rFonts w:asciiTheme="minorHAnsi" w:hAnsiTheme="minorHAnsi" w:cs="Arial"/>
          <w:color w:val="000000"/>
          <w:sz w:val="18"/>
          <w:szCs w:val="18"/>
          <w:lang w:val="en-GB"/>
        </w:rPr>
        <w:t>Pansky</w:t>
      </w:r>
      <w:proofErr w:type="spellEnd"/>
      <w:r w:rsidRPr="00374AA7">
        <w:rPr>
          <w:rFonts w:asciiTheme="minorHAnsi" w:hAnsiTheme="minorHAnsi" w:cs="Arial"/>
          <w:color w:val="000000"/>
          <w:sz w:val="18"/>
          <w:szCs w:val="18"/>
          <w:lang w:val="en-GB"/>
        </w:rPr>
        <w:t xml:space="preserve"> A, </w:t>
      </w:r>
      <w:proofErr w:type="spellStart"/>
      <w:r w:rsidRPr="00374AA7">
        <w:rPr>
          <w:rFonts w:asciiTheme="minorHAnsi" w:hAnsiTheme="minorHAnsi" w:cs="Arial"/>
          <w:color w:val="000000"/>
          <w:sz w:val="18"/>
          <w:szCs w:val="18"/>
          <w:lang w:val="en-GB"/>
        </w:rPr>
        <w:t>Kassack</w:t>
      </w:r>
      <w:proofErr w:type="spellEnd"/>
      <w:r w:rsidRPr="00374AA7">
        <w:rPr>
          <w:rFonts w:asciiTheme="minorHAnsi" w:hAnsiTheme="minorHAnsi" w:cs="Arial"/>
          <w:color w:val="000000"/>
          <w:sz w:val="18"/>
          <w:szCs w:val="18"/>
          <w:lang w:val="en-GB"/>
        </w:rPr>
        <w:t xml:space="preserve"> MU, </w:t>
      </w:r>
      <w:proofErr w:type="spellStart"/>
      <w:r w:rsidRPr="00374AA7">
        <w:rPr>
          <w:rFonts w:asciiTheme="minorHAnsi" w:hAnsiTheme="minorHAnsi" w:cs="Arial"/>
          <w:color w:val="000000"/>
          <w:sz w:val="18"/>
          <w:szCs w:val="18"/>
          <w:lang w:val="en-GB"/>
        </w:rPr>
        <w:t>Tobiasch</w:t>
      </w:r>
      <w:proofErr w:type="spellEnd"/>
      <w:r w:rsidRPr="00374AA7">
        <w:rPr>
          <w:rFonts w:asciiTheme="minorHAnsi" w:hAnsiTheme="minorHAnsi" w:cs="Arial"/>
          <w:color w:val="000000"/>
          <w:sz w:val="18"/>
          <w:szCs w:val="18"/>
          <w:lang w:val="en-GB"/>
        </w:rPr>
        <w:t xml:space="preserve"> E. (2012) Purinergic receptors influence the differentiation of human mesenchymal stem cells. </w:t>
      </w:r>
      <w:r w:rsidRPr="00374AA7">
        <w:rPr>
          <w:rStyle w:val="jrnl"/>
          <w:rFonts w:asciiTheme="minorHAnsi" w:hAnsiTheme="minorHAnsi" w:cs="Arial"/>
          <w:sz w:val="18"/>
          <w:szCs w:val="18"/>
        </w:rPr>
        <w:t>Stem Cells Dev</w:t>
      </w:r>
      <w:r w:rsidRPr="00374AA7">
        <w:rPr>
          <w:rFonts w:asciiTheme="minorHAnsi" w:hAnsiTheme="minorHAnsi" w:cs="Arial"/>
          <w:sz w:val="18"/>
          <w:szCs w:val="18"/>
        </w:rPr>
        <w:t>. 2012 Apr 10</w:t>
      </w:r>
      <w:proofErr w:type="gramStart"/>
      <w:r w:rsidRPr="00374AA7">
        <w:rPr>
          <w:rFonts w:asciiTheme="minorHAnsi" w:hAnsiTheme="minorHAnsi" w:cs="Arial"/>
          <w:sz w:val="18"/>
          <w:szCs w:val="18"/>
        </w:rPr>
        <w:t>;21</w:t>
      </w:r>
      <w:proofErr w:type="gramEnd"/>
      <w:r w:rsidRPr="00374AA7">
        <w:rPr>
          <w:rFonts w:asciiTheme="minorHAnsi" w:hAnsiTheme="minorHAnsi" w:cs="Arial"/>
          <w:sz w:val="18"/>
          <w:szCs w:val="18"/>
        </w:rPr>
        <w:t xml:space="preserve">(6):884-900. </w:t>
      </w:r>
    </w:p>
    <w:p w:rsidR="00591417" w:rsidRPr="00374AA7" w:rsidRDefault="00591417" w:rsidP="00591417">
      <w:pPr>
        <w:pStyle w:val="Intestazione"/>
        <w:widowControl/>
        <w:numPr>
          <w:ilvl w:val="0"/>
          <w:numId w:val="4"/>
        </w:numPr>
        <w:tabs>
          <w:tab w:val="clear" w:pos="720"/>
          <w:tab w:val="clear" w:pos="4513"/>
          <w:tab w:val="clear" w:pos="9026"/>
        </w:tabs>
        <w:autoSpaceDE w:val="0"/>
        <w:autoSpaceDN w:val="0"/>
        <w:adjustRightInd w:val="0"/>
        <w:spacing w:before="85" w:line="216" w:lineRule="exact"/>
        <w:ind w:left="357" w:hanging="357"/>
        <w:jc w:val="both"/>
        <w:rPr>
          <w:rFonts w:asciiTheme="minorHAnsi" w:hAnsiTheme="minorHAnsi" w:cs="Arial"/>
          <w:sz w:val="18"/>
          <w:szCs w:val="18"/>
          <w:lang w:val="en-GB"/>
        </w:rPr>
      </w:pPr>
      <w:proofErr w:type="spellStart"/>
      <w:r w:rsidRPr="00374AA7">
        <w:rPr>
          <w:rFonts w:asciiTheme="minorHAnsi" w:hAnsiTheme="minorHAnsi" w:cs="Arial"/>
          <w:sz w:val="18"/>
          <w:szCs w:val="18"/>
        </w:rPr>
        <w:t>Hielscher</w:t>
      </w:r>
      <w:proofErr w:type="spellEnd"/>
      <w:r w:rsidRPr="00374AA7">
        <w:rPr>
          <w:rFonts w:asciiTheme="minorHAnsi" w:hAnsiTheme="minorHAnsi" w:cs="Arial"/>
          <w:sz w:val="18"/>
          <w:szCs w:val="18"/>
        </w:rPr>
        <w:t xml:space="preserve"> D, </w:t>
      </w:r>
      <w:proofErr w:type="spellStart"/>
      <w:r w:rsidRPr="00374AA7">
        <w:rPr>
          <w:rFonts w:asciiTheme="minorHAnsi" w:hAnsiTheme="minorHAnsi" w:cs="Arial"/>
          <w:sz w:val="18"/>
          <w:szCs w:val="18"/>
        </w:rPr>
        <w:t>Kaebisch</w:t>
      </w:r>
      <w:proofErr w:type="spellEnd"/>
      <w:r w:rsidRPr="00374AA7">
        <w:rPr>
          <w:rFonts w:asciiTheme="minorHAnsi" w:hAnsiTheme="minorHAnsi" w:cs="Arial"/>
          <w:sz w:val="18"/>
          <w:szCs w:val="18"/>
        </w:rPr>
        <w:t xml:space="preserve"> C, Braun BJV, Gray</w:t>
      </w:r>
      <w:r w:rsidRPr="00374AA7">
        <w:rPr>
          <w:rFonts w:asciiTheme="minorHAnsi" w:hAnsiTheme="minorHAnsi" w:cs="Arial"/>
          <w:sz w:val="18"/>
          <w:szCs w:val="18"/>
          <w:vertAlign w:val="superscript"/>
        </w:rPr>
        <w:t xml:space="preserve"> </w:t>
      </w:r>
      <w:r w:rsidRPr="00374AA7">
        <w:rPr>
          <w:rFonts w:asciiTheme="minorHAnsi" w:hAnsiTheme="minorHAnsi" w:cs="Arial"/>
          <w:sz w:val="18"/>
          <w:szCs w:val="18"/>
        </w:rPr>
        <w:t xml:space="preserve">K, </w:t>
      </w:r>
      <w:proofErr w:type="spellStart"/>
      <w:r w:rsidRPr="00374AA7">
        <w:rPr>
          <w:rFonts w:asciiTheme="minorHAnsi" w:hAnsiTheme="minorHAnsi" w:cs="Arial"/>
          <w:sz w:val="18"/>
          <w:szCs w:val="18"/>
        </w:rPr>
        <w:t>Tobiasch</w:t>
      </w:r>
      <w:proofErr w:type="spellEnd"/>
      <w:r w:rsidRPr="00374AA7">
        <w:rPr>
          <w:rFonts w:asciiTheme="minorHAnsi" w:hAnsiTheme="minorHAnsi" w:cs="Arial"/>
          <w:sz w:val="18"/>
          <w:szCs w:val="18"/>
        </w:rPr>
        <w:t xml:space="preserve"> E. Stem Cell Sources and Graft Material for Vascular Tissue Engineering. </w:t>
      </w:r>
      <w:r w:rsidRPr="00374AA7">
        <w:rPr>
          <w:rStyle w:val="jrnl"/>
          <w:rFonts w:asciiTheme="minorHAnsi" w:hAnsiTheme="minorHAnsi" w:cs="Arial"/>
          <w:sz w:val="18"/>
          <w:szCs w:val="18"/>
        </w:rPr>
        <w:t>Stem Cell Rev</w:t>
      </w:r>
      <w:r w:rsidRPr="00374AA7">
        <w:rPr>
          <w:rFonts w:asciiTheme="minorHAnsi" w:hAnsiTheme="minorHAnsi" w:cs="Arial"/>
          <w:sz w:val="18"/>
          <w:szCs w:val="18"/>
        </w:rPr>
        <w:t>. 2018 Oct</w:t>
      </w:r>
      <w:proofErr w:type="gramStart"/>
      <w:r w:rsidRPr="00374AA7">
        <w:rPr>
          <w:rFonts w:asciiTheme="minorHAnsi" w:hAnsiTheme="minorHAnsi" w:cs="Arial"/>
          <w:sz w:val="18"/>
          <w:szCs w:val="18"/>
        </w:rPr>
        <w:t>;14</w:t>
      </w:r>
      <w:proofErr w:type="gramEnd"/>
      <w:r w:rsidRPr="00374AA7">
        <w:rPr>
          <w:rFonts w:asciiTheme="minorHAnsi" w:hAnsiTheme="minorHAnsi" w:cs="Arial"/>
          <w:sz w:val="18"/>
          <w:szCs w:val="18"/>
        </w:rPr>
        <w:t xml:space="preserve">(5):642-667. </w:t>
      </w:r>
    </w:p>
    <w:p w:rsidR="00591417" w:rsidRPr="00374AA7" w:rsidRDefault="00591417" w:rsidP="00591417">
      <w:pPr>
        <w:pStyle w:val="Intestazione"/>
        <w:widowControl/>
        <w:numPr>
          <w:ilvl w:val="0"/>
          <w:numId w:val="4"/>
        </w:numPr>
        <w:tabs>
          <w:tab w:val="clear" w:pos="720"/>
          <w:tab w:val="clear" w:pos="4513"/>
          <w:tab w:val="clear" w:pos="9026"/>
        </w:tabs>
        <w:autoSpaceDE w:val="0"/>
        <w:autoSpaceDN w:val="0"/>
        <w:adjustRightInd w:val="0"/>
        <w:spacing w:before="85" w:line="216" w:lineRule="exact"/>
        <w:ind w:left="357" w:hanging="357"/>
        <w:jc w:val="both"/>
        <w:rPr>
          <w:rFonts w:asciiTheme="minorHAnsi" w:hAnsiTheme="minorHAnsi" w:cs="Arial"/>
          <w:sz w:val="18"/>
          <w:szCs w:val="18"/>
          <w:lang w:val="en-GB"/>
        </w:rPr>
      </w:pPr>
      <w:proofErr w:type="spellStart"/>
      <w:r w:rsidRPr="00374AA7">
        <w:rPr>
          <w:rFonts w:asciiTheme="minorHAnsi" w:hAnsiTheme="minorHAnsi" w:cs="Arial"/>
          <w:sz w:val="18"/>
          <w:szCs w:val="18"/>
        </w:rPr>
        <w:t>Ottensmeyer</w:t>
      </w:r>
      <w:proofErr w:type="spellEnd"/>
      <w:r w:rsidRPr="00374AA7">
        <w:rPr>
          <w:rFonts w:asciiTheme="minorHAnsi" w:hAnsiTheme="minorHAnsi" w:cs="Arial"/>
          <w:sz w:val="18"/>
          <w:szCs w:val="18"/>
        </w:rPr>
        <w:t xml:space="preserve"> PF, </w:t>
      </w:r>
      <w:proofErr w:type="spellStart"/>
      <w:r w:rsidRPr="00374AA7">
        <w:rPr>
          <w:rFonts w:asciiTheme="minorHAnsi" w:hAnsiTheme="minorHAnsi" w:cs="Arial"/>
          <w:sz w:val="18"/>
          <w:szCs w:val="18"/>
        </w:rPr>
        <w:t>Witz</w:t>
      </w:r>
      <w:bookmarkStart w:id="0" w:name="_GoBack"/>
      <w:bookmarkEnd w:id="0"/>
      <w:r w:rsidRPr="00374AA7">
        <w:rPr>
          <w:rFonts w:asciiTheme="minorHAnsi" w:hAnsiTheme="minorHAnsi" w:cs="Arial"/>
          <w:sz w:val="18"/>
          <w:szCs w:val="18"/>
        </w:rPr>
        <w:t>ler</w:t>
      </w:r>
      <w:proofErr w:type="spellEnd"/>
      <w:r w:rsidRPr="00374AA7">
        <w:rPr>
          <w:rFonts w:asciiTheme="minorHAnsi" w:hAnsiTheme="minorHAnsi" w:cs="Arial"/>
          <w:sz w:val="18"/>
          <w:szCs w:val="18"/>
        </w:rPr>
        <w:t xml:space="preserve"> M, Schulze M, </w:t>
      </w:r>
      <w:proofErr w:type="spellStart"/>
      <w:r w:rsidRPr="00374AA7">
        <w:rPr>
          <w:rFonts w:asciiTheme="minorHAnsi" w:hAnsiTheme="minorHAnsi" w:cs="Arial"/>
          <w:bCs/>
          <w:sz w:val="18"/>
          <w:szCs w:val="18"/>
        </w:rPr>
        <w:t>Tobiasch</w:t>
      </w:r>
      <w:proofErr w:type="spellEnd"/>
      <w:r w:rsidRPr="00374AA7">
        <w:rPr>
          <w:rFonts w:asciiTheme="minorHAnsi" w:hAnsiTheme="minorHAnsi" w:cs="Arial"/>
          <w:sz w:val="18"/>
          <w:szCs w:val="18"/>
        </w:rPr>
        <w:t xml:space="preserve"> E. Small Molecules Enhance Scaffold-Based Bone Grafts via Purinergic Receptor Signaling in Stem Cells. </w:t>
      </w:r>
      <w:proofErr w:type="spellStart"/>
      <w:r w:rsidRPr="00374AA7">
        <w:rPr>
          <w:rFonts w:asciiTheme="minorHAnsi" w:hAnsiTheme="minorHAnsi" w:cs="Arial"/>
          <w:sz w:val="18"/>
          <w:szCs w:val="18"/>
        </w:rPr>
        <w:t>Int</w:t>
      </w:r>
      <w:proofErr w:type="spellEnd"/>
      <w:r w:rsidRPr="00374AA7">
        <w:rPr>
          <w:rFonts w:asciiTheme="minorHAnsi" w:hAnsiTheme="minorHAnsi" w:cs="Arial"/>
          <w:sz w:val="18"/>
          <w:szCs w:val="18"/>
        </w:rPr>
        <w:t xml:space="preserve"> J </w:t>
      </w:r>
      <w:proofErr w:type="spellStart"/>
      <w:r w:rsidRPr="00374AA7">
        <w:rPr>
          <w:rFonts w:asciiTheme="minorHAnsi" w:hAnsiTheme="minorHAnsi" w:cs="Arial"/>
          <w:sz w:val="18"/>
          <w:szCs w:val="18"/>
        </w:rPr>
        <w:t>Mol</w:t>
      </w:r>
      <w:proofErr w:type="spellEnd"/>
      <w:r w:rsidRPr="00374AA7">
        <w:rPr>
          <w:rFonts w:asciiTheme="minorHAnsi" w:hAnsiTheme="minorHAnsi" w:cs="Arial"/>
          <w:sz w:val="18"/>
          <w:szCs w:val="18"/>
        </w:rPr>
        <w:t xml:space="preserve"> Sci. 2018 Nov 14</w:t>
      </w:r>
      <w:proofErr w:type="gramStart"/>
      <w:r w:rsidRPr="00374AA7">
        <w:rPr>
          <w:rFonts w:asciiTheme="minorHAnsi" w:hAnsiTheme="minorHAnsi" w:cs="Arial"/>
          <w:sz w:val="18"/>
          <w:szCs w:val="18"/>
        </w:rPr>
        <w:t>;19</w:t>
      </w:r>
      <w:proofErr w:type="gramEnd"/>
      <w:r w:rsidRPr="00374AA7">
        <w:rPr>
          <w:rFonts w:asciiTheme="minorHAnsi" w:hAnsiTheme="minorHAnsi" w:cs="Arial"/>
          <w:sz w:val="18"/>
          <w:szCs w:val="18"/>
        </w:rPr>
        <w:t>(11).</w:t>
      </w:r>
    </w:p>
    <w:p w:rsidR="00591417" w:rsidRPr="00374AA7" w:rsidRDefault="00591417" w:rsidP="00591417">
      <w:pPr>
        <w:pStyle w:val="Intestazione"/>
        <w:widowControl/>
        <w:numPr>
          <w:ilvl w:val="0"/>
          <w:numId w:val="4"/>
        </w:numPr>
        <w:tabs>
          <w:tab w:val="clear" w:pos="720"/>
          <w:tab w:val="clear" w:pos="4513"/>
          <w:tab w:val="clear" w:pos="9026"/>
        </w:tabs>
        <w:autoSpaceDE w:val="0"/>
        <w:autoSpaceDN w:val="0"/>
        <w:adjustRightInd w:val="0"/>
        <w:spacing w:before="85" w:line="216" w:lineRule="exact"/>
        <w:ind w:left="357" w:hanging="357"/>
        <w:jc w:val="both"/>
        <w:rPr>
          <w:rFonts w:asciiTheme="minorHAnsi" w:hAnsiTheme="minorHAnsi" w:cs="Arial"/>
          <w:sz w:val="18"/>
          <w:szCs w:val="18"/>
          <w:lang w:val="en-GB"/>
        </w:rPr>
      </w:pPr>
      <w:proofErr w:type="spellStart"/>
      <w:r w:rsidRPr="00374AA7">
        <w:rPr>
          <w:rFonts w:asciiTheme="minorHAnsi" w:hAnsiTheme="minorHAnsi" w:cs="Arial"/>
          <w:sz w:val="18"/>
          <w:szCs w:val="18"/>
        </w:rPr>
        <w:t>Götz</w:t>
      </w:r>
      <w:proofErr w:type="spellEnd"/>
      <w:r w:rsidRPr="00374AA7">
        <w:rPr>
          <w:rFonts w:asciiTheme="minorHAnsi" w:hAnsiTheme="minorHAnsi" w:cs="Arial"/>
          <w:sz w:val="18"/>
          <w:szCs w:val="18"/>
        </w:rPr>
        <w:t xml:space="preserve"> W, </w:t>
      </w:r>
      <w:proofErr w:type="spellStart"/>
      <w:r w:rsidRPr="00374AA7">
        <w:rPr>
          <w:rFonts w:asciiTheme="minorHAnsi" w:hAnsiTheme="minorHAnsi" w:cs="Arial"/>
          <w:sz w:val="18"/>
          <w:szCs w:val="18"/>
        </w:rPr>
        <w:t>Tobiasch</w:t>
      </w:r>
      <w:proofErr w:type="spellEnd"/>
      <w:r w:rsidRPr="00374AA7">
        <w:rPr>
          <w:rFonts w:asciiTheme="minorHAnsi" w:hAnsiTheme="minorHAnsi" w:cs="Arial"/>
          <w:sz w:val="18"/>
          <w:szCs w:val="18"/>
        </w:rPr>
        <w:t xml:space="preserve"> E, </w:t>
      </w:r>
      <w:proofErr w:type="spellStart"/>
      <w:r w:rsidRPr="00374AA7">
        <w:rPr>
          <w:rFonts w:asciiTheme="minorHAnsi" w:hAnsiTheme="minorHAnsi" w:cs="Arial"/>
          <w:sz w:val="18"/>
          <w:szCs w:val="18"/>
        </w:rPr>
        <w:t>Witzleben</w:t>
      </w:r>
      <w:proofErr w:type="spellEnd"/>
      <w:r w:rsidRPr="00374AA7">
        <w:rPr>
          <w:rFonts w:asciiTheme="minorHAnsi" w:hAnsiTheme="minorHAnsi" w:cs="Arial"/>
          <w:sz w:val="18"/>
          <w:szCs w:val="18"/>
        </w:rPr>
        <w:t xml:space="preserve"> S, Schulze M. Effects of Silicon Compounds on </w:t>
      </w:r>
      <w:proofErr w:type="spellStart"/>
      <w:r w:rsidRPr="00374AA7">
        <w:rPr>
          <w:rFonts w:asciiTheme="minorHAnsi" w:hAnsiTheme="minorHAnsi" w:cs="Arial"/>
          <w:sz w:val="18"/>
          <w:szCs w:val="18"/>
        </w:rPr>
        <w:t>Biomineralization</w:t>
      </w:r>
      <w:proofErr w:type="spellEnd"/>
      <w:r w:rsidRPr="00374AA7">
        <w:rPr>
          <w:rFonts w:asciiTheme="minorHAnsi" w:hAnsiTheme="minorHAnsi" w:cs="Arial"/>
          <w:sz w:val="18"/>
          <w:szCs w:val="18"/>
        </w:rPr>
        <w:t xml:space="preserve">, Osteogenesis and Hard Tissue Formation. </w:t>
      </w:r>
      <w:r w:rsidRPr="00374AA7">
        <w:rPr>
          <w:rStyle w:val="jrnl"/>
          <w:rFonts w:asciiTheme="minorHAnsi" w:hAnsiTheme="minorHAnsi" w:cs="Arial"/>
          <w:sz w:val="18"/>
          <w:szCs w:val="18"/>
        </w:rPr>
        <w:t>Pharmaceutics</w:t>
      </w:r>
      <w:r w:rsidRPr="00374AA7">
        <w:rPr>
          <w:rFonts w:asciiTheme="minorHAnsi" w:hAnsiTheme="minorHAnsi" w:cs="Arial"/>
          <w:sz w:val="18"/>
          <w:szCs w:val="18"/>
        </w:rPr>
        <w:t>. 2019 Mar 12</w:t>
      </w:r>
      <w:proofErr w:type="gramStart"/>
      <w:r w:rsidRPr="00374AA7">
        <w:rPr>
          <w:rFonts w:asciiTheme="minorHAnsi" w:hAnsiTheme="minorHAnsi" w:cs="Arial"/>
          <w:sz w:val="18"/>
          <w:szCs w:val="18"/>
        </w:rPr>
        <w:t>;11</w:t>
      </w:r>
      <w:proofErr w:type="gramEnd"/>
      <w:r w:rsidRPr="00374AA7">
        <w:rPr>
          <w:rFonts w:asciiTheme="minorHAnsi" w:hAnsiTheme="minorHAnsi" w:cs="Arial"/>
          <w:sz w:val="18"/>
          <w:szCs w:val="18"/>
        </w:rPr>
        <w:t>(3).</w:t>
      </w:r>
      <w:r w:rsidRPr="00374AA7">
        <w:rPr>
          <w:rFonts w:asciiTheme="minorHAnsi" w:hAnsiTheme="minorHAnsi" w:cs="Arial"/>
          <w:bCs/>
          <w:i/>
          <w:sz w:val="18"/>
          <w:szCs w:val="18"/>
          <w:highlight w:val="yellow"/>
        </w:rPr>
        <w:t xml:space="preserve"> </w:t>
      </w:r>
    </w:p>
    <w:p w:rsidR="00AE3E37" w:rsidRPr="00591417" w:rsidRDefault="00591417" w:rsidP="00591417">
      <w:pPr>
        <w:pStyle w:val="Intestazione"/>
        <w:widowControl/>
        <w:numPr>
          <w:ilvl w:val="0"/>
          <w:numId w:val="4"/>
        </w:numPr>
        <w:tabs>
          <w:tab w:val="clear" w:pos="720"/>
          <w:tab w:val="clear" w:pos="4513"/>
          <w:tab w:val="clear" w:pos="9026"/>
        </w:tabs>
        <w:autoSpaceDE w:val="0"/>
        <w:autoSpaceDN w:val="0"/>
        <w:adjustRightInd w:val="0"/>
        <w:spacing w:before="85" w:line="216" w:lineRule="exact"/>
        <w:ind w:left="357" w:hanging="357"/>
        <w:jc w:val="both"/>
        <w:rPr>
          <w:rFonts w:asciiTheme="minorHAnsi" w:hAnsiTheme="minorHAnsi" w:cs="Arial"/>
          <w:sz w:val="18"/>
          <w:szCs w:val="18"/>
          <w:lang w:val="en-GB"/>
        </w:rPr>
      </w:pPr>
      <w:proofErr w:type="spellStart"/>
      <w:r w:rsidRPr="00374AA7">
        <w:rPr>
          <w:rFonts w:asciiTheme="minorHAnsi" w:hAnsiTheme="minorHAnsi" w:cs="Arial"/>
          <w:sz w:val="18"/>
          <w:szCs w:val="18"/>
        </w:rPr>
        <w:t>Witzler</w:t>
      </w:r>
      <w:proofErr w:type="spellEnd"/>
      <w:r w:rsidRPr="00374AA7">
        <w:rPr>
          <w:rFonts w:asciiTheme="minorHAnsi" w:hAnsiTheme="minorHAnsi" w:cs="Arial"/>
          <w:sz w:val="18"/>
          <w:szCs w:val="18"/>
        </w:rPr>
        <w:t xml:space="preserve"> M, </w:t>
      </w:r>
      <w:proofErr w:type="spellStart"/>
      <w:r w:rsidRPr="00374AA7">
        <w:rPr>
          <w:rFonts w:asciiTheme="minorHAnsi" w:hAnsiTheme="minorHAnsi" w:cs="Arial"/>
          <w:sz w:val="18"/>
          <w:szCs w:val="18"/>
        </w:rPr>
        <w:t>Ottensmeyer</w:t>
      </w:r>
      <w:proofErr w:type="spellEnd"/>
      <w:r w:rsidRPr="00374AA7">
        <w:rPr>
          <w:rFonts w:asciiTheme="minorHAnsi" w:hAnsiTheme="minorHAnsi" w:cs="Arial"/>
          <w:sz w:val="18"/>
          <w:szCs w:val="18"/>
        </w:rPr>
        <w:t xml:space="preserve"> PF, </w:t>
      </w:r>
      <w:proofErr w:type="spellStart"/>
      <w:r w:rsidRPr="00374AA7">
        <w:rPr>
          <w:rFonts w:asciiTheme="minorHAnsi" w:hAnsiTheme="minorHAnsi" w:cs="Arial"/>
          <w:sz w:val="18"/>
          <w:szCs w:val="18"/>
        </w:rPr>
        <w:t>Gericke</w:t>
      </w:r>
      <w:proofErr w:type="spellEnd"/>
      <w:r w:rsidRPr="00374AA7">
        <w:rPr>
          <w:rFonts w:asciiTheme="minorHAnsi" w:hAnsiTheme="minorHAnsi" w:cs="Arial"/>
          <w:sz w:val="18"/>
          <w:szCs w:val="18"/>
        </w:rPr>
        <w:t xml:space="preserve"> M, </w:t>
      </w:r>
      <w:proofErr w:type="spellStart"/>
      <w:r w:rsidRPr="00374AA7">
        <w:rPr>
          <w:rFonts w:asciiTheme="minorHAnsi" w:hAnsiTheme="minorHAnsi" w:cs="Arial"/>
          <w:sz w:val="18"/>
          <w:szCs w:val="18"/>
        </w:rPr>
        <w:t>Heinze</w:t>
      </w:r>
      <w:proofErr w:type="spellEnd"/>
      <w:r w:rsidRPr="00374AA7">
        <w:rPr>
          <w:rFonts w:asciiTheme="minorHAnsi" w:hAnsiTheme="minorHAnsi" w:cs="Arial"/>
          <w:sz w:val="18"/>
          <w:szCs w:val="18"/>
        </w:rPr>
        <w:t xml:space="preserve"> T, </w:t>
      </w:r>
      <w:proofErr w:type="spellStart"/>
      <w:r w:rsidRPr="00374AA7">
        <w:rPr>
          <w:rFonts w:asciiTheme="minorHAnsi" w:hAnsiTheme="minorHAnsi" w:cs="Arial"/>
          <w:bCs/>
          <w:sz w:val="18"/>
          <w:szCs w:val="18"/>
        </w:rPr>
        <w:t>Tobiasch</w:t>
      </w:r>
      <w:proofErr w:type="spellEnd"/>
      <w:r w:rsidRPr="00374AA7">
        <w:rPr>
          <w:rFonts w:asciiTheme="minorHAnsi" w:hAnsiTheme="minorHAnsi" w:cs="Arial"/>
          <w:sz w:val="18"/>
          <w:szCs w:val="18"/>
        </w:rPr>
        <w:t xml:space="preserve"> E. Schulze M. Non-Cytotoxic Agarose/hydroxyapatite Composite Scaffolds for Drug Release. </w:t>
      </w:r>
      <w:proofErr w:type="spellStart"/>
      <w:r w:rsidRPr="00374AA7">
        <w:rPr>
          <w:rFonts w:asciiTheme="minorHAnsi" w:hAnsiTheme="minorHAnsi" w:cs="Arial"/>
          <w:sz w:val="18"/>
          <w:szCs w:val="18"/>
        </w:rPr>
        <w:t>Int</w:t>
      </w:r>
      <w:proofErr w:type="spellEnd"/>
      <w:r w:rsidRPr="00374AA7">
        <w:rPr>
          <w:rFonts w:asciiTheme="minorHAnsi" w:hAnsiTheme="minorHAnsi" w:cs="Arial"/>
          <w:sz w:val="18"/>
          <w:szCs w:val="18"/>
        </w:rPr>
        <w:t xml:space="preserve"> J </w:t>
      </w:r>
      <w:proofErr w:type="spellStart"/>
      <w:r w:rsidRPr="00374AA7">
        <w:rPr>
          <w:rFonts w:asciiTheme="minorHAnsi" w:hAnsiTheme="minorHAnsi" w:cs="Arial"/>
          <w:sz w:val="18"/>
          <w:szCs w:val="18"/>
        </w:rPr>
        <w:t>Mol</w:t>
      </w:r>
      <w:proofErr w:type="spellEnd"/>
      <w:r w:rsidRPr="00374AA7">
        <w:rPr>
          <w:rFonts w:asciiTheme="minorHAnsi" w:hAnsiTheme="minorHAnsi" w:cs="Arial"/>
          <w:sz w:val="18"/>
          <w:szCs w:val="18"/>
        </w:rPr>
        <w:t xml:space="preserve"> </w:t>
      </w:r>
      <w:proofErr w:type="spellStart"/>
      <w:r w:rsidRPr="00374AA7">
        <w:rPr>
          <w:rFonts w:asciiTheme="minorHAnsi" w:hAnsiTheme="minorHAnsi" w:cs="Arial"/>
          <w:sz w:val="18"/>
          <w:szCs w:val="18"/>
        </w:rPr>
        <w:t>Sci</w:t>
      </w:r>
      <w:proofErr w:type="spellEnd"/>
      <w:r w:rsidRPr="00374AA7">
        <w:rPr>
          <w:rFonts w:asciiTheme="minorHAnsi" w:hAnsiTheme="minorHAnsi" w:cs="Arial"/>
          <w:sz w:val="18"/>
          <w:szCs w:val="18"/>
        </w:rPr>
        <w:t xml:space="preserve"> 2019 Jul 21</w:t>
      </w:r>
      <w:proofErr w:type="gramStart"/>
      <w:r w:rsidRPr="00374AA7">
        <w:rPr>
          <w:rFonts w:asciiTheme="minorHAnsi" w:hAnsiTheme="minorHAnsi" w:cs="Arial"/>
          <w:sz w:val="18"/>
          <w:szCs w:val="18"/>
        </w:rPr>
        <w:t>;20</w:t>
      </w:r>
      <w:proofErr w:type="gramEnd"/>
      <w:r w:rsidRPr="00374AA7">
        <w:rPr>
          <w:rFonts w:asciiTheme="minorHAnsi" w:hAnsiTheme="minorHAnsi" w:cs="Arial"/>
          <w:sz w:val="18"/>
          <w:szCs w:val="18"/>
        </w:rPr>
        <w:t>(14).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EF29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91417">
        <w:rPr>
          <w:rFonts w:ascii="Arial"/>
          <w:noProof/>
          <w:color w:val="BF5A14"/>
          <w:lang w:val="it-IT" w:eastAsia="it-IT"/>
        </w:rPr>
        <w:drawing>
          <wp:inline distT="0" distB="0" distL="0" distR="0">
            <wp:extent cx="541325" cy="78638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biasch.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325" cy="786384"/>
                    </a:xfrm>
                    <a:prstGeom prst="rect">
                      <a:avLst/>
                    </a:prstGeom>
                  </pic:spPr>
                </pic:pic>
              </a:graphicData>
            </a:graphic>
          </wp:inline>
        </w:drawing>
      </w:r>
      <w:r w:rsidR="00A9710C">
        <w:rPr>
          <w:rFonts w:ascii="Arial"/>
          <w:color w:val="BF5A14"/>
        </w:rPr>
        <w:t>Biography</w:t>
      </w:r>
    </w:p>
    <w:p w:rsidR="00A26EB6" w:rsidRPr="000E7EC9" w:rsidRDefault="00A26EB6" w:rsidP="00A26EB6">
      <w:pPr>
        <w:spacing w:before="41" w:line="154" w:lineRule="exact"/>
        <w:jc w:val="both"/>
        <w:rPr>
          <w:rFonts w:ascii="Arial" w:hAnsi="Arial" w:cs="Arial"/>
          <w:sz w:val="14"/>
          <w:szCs w:val="14"/>
        </w:rPr>
      </w:pPr>
      <w:r>
        <w:rPr>
          <w:rFonts w:ascii="Arial"/>
          <w:sz w:val="14"/>
        </w:rPr>
        <w:t xml:space="preserve">Edda </w:t>
      </w:r>
      <w:proofErr w:type="spellStart"/>
      <w:r>
        <w:rPr>
          <w:rFonts w:ascii="Arial"/>
          <w:sz w:val="14"/>
        </w:rPr>
        <w:t>Tobiasch</w:t>
      </w:r>
      <w:proofErr w:type="spellEnd"/>
      <w:r>
        <w:rPr>
          <w:rFonts w:ascii="Arial"/>
          <w:sz w:val="14"/>
        </w:rPr>
        <w:t xml:space="preserve"> is a professor for cell culture and genetic engineering and a member of the steering committee of the stem cell network North-Rhine Westphalia. </w:t>
      </w:r>
      <w:r w:rsidRPr="000E7EC9">
        <w:rPr>
          <w:rFonts w:ascii="Arial" w:hAnsi="Arial" w:cs="Arial"/>
          <w:sz w:val="14"/>
          <w:szCs w:val="14"/>
        </w:rPr>
        <w:t xml:space="preserve">She has many presentations, papers, patents and more than 150 </w:t>
      </w:r>
      <w:r>
        <w:rPr>
          <w:rFonts w:ascii="Arial" w:hAnsi="Arial" w:cs="Arial"/>
          <w:sz w:val="14"/>
          <w:szCs w:val="14"/>
        </w:rPr>
        <w:t>posters to her credit</w:t>
      </w:r>
      <w:r w:rsidRPr="000E7EC9">
        <w:rPr>
          <w:rFonts w:ascii="Arial" w:hAnsi="Arial" w:cs="Arial"/>
          <w:sz w:val="14"/>
          <w:szCs w:val="14"/>
        </w:rPr>
        <w:t xml:space="preserve"> </w:t>
      </w:r>
      <w:r>
        <w:rPr>
          <w:rFonts w:ascii="Arial" w:hAnsi="Arial" w:cs="Arial"/>
          <w:sz w:val="14"/>
          <w:szCs w:val="14"/>
          <w:lang w:val="en-GB"/>
        </w:rPr>
        <w:t>and</w:t>
      </w:r>
      <w:r w:rsidRPr="000E7EC9">
        <w:rPr>
          <w:rFonts w:ascii="Arial" w:hAnsi="Arial" w:cs="Arial"/>
          <w:sz w:val="14"/>
          <w:szCs w:val="14"/>
          <w:lang w:val="en-GB"/>
        </w:rPr>
        <w:t xml:space="preserve"> </w:t>
      </w:r>
      <w:proofErr w:type="gramStart"/>
      <w:r w:rsidRPr="000E7EC9">
        <w:rPr>
          <w:rFonts w:ascii="Arial" w:hAnsi="Arial" w:cs="Arial"/>
          <w:sz w:val="14"/>
          <w:szCs w:val="14"/>
          <w:lang w:val="en-GB"/>
        </w:rPr>
        <w:t>was awarded</w:t>
      </w:r>
      <w:proofErr w:type="gramEnd"/>
      <w:r w:rsidRPr="000E7EC9">
        <w:rPr>
          <w:rFonts w:ascii="Arial" w:hAnsi="Arial" w:cs="Arial"/>
          <w:sz w:val="14"/>
          <w:szCs w:val="14"/>
          <w:lang w:val="en-GB"/>
        </w:rPr>
        <w:t xml:space="preserve"> for </w:t>
      </w:r>
      <w:r w:rsidRPr="000E7EC9">
        <w:rPr>
          <w:rFonts w:ascii="Arial" w:hAnsi="Arial" w:cs="Arial"/>
          <w:sz w:val="14"/>
          <w:szCs w:val="14"/>
          <w:lang w:val="en-GB" w:eastAsia="zh-CN"/>
        </w:rPr>
        <w:t>"</w:t>
      </w:r>
      <w:r w:rsidRPr="000E7EC9">
        <w:rPr>
          <w:rFonts w:ascii="Arial" w:hAnsi="Arial" w:cs="Arial"/>
          <w:sz w:val="14"/>
          <w:szCs w:val="14"/>
          <w:lang w:val="en-GB"/>
        </w:rPr>
        <w:t>Outstanding Scientific Research</w:t>
      </w:r>
      <w:r w:rsidRPr="000E7EC9">
        <w:rPr>
          <w:rFonts w:ascii="Arial" w:hAnsi="Arial" w:cs="Arial"/>
          <w:sz w:val="14"/>
          <w:szCs w:val="14"/>
          <w:lang w:val="en-GB" w:eastAsia="zh-CN"/>
        </w:rPr>
        <w:t>"</w:t>
      </w:r>
      <w:r w:rsidRPr="000E7EC9">
        <w:rPr>
          <w:rFonts w:ascii="Arial" w:hAnsi="Arial" w:cs="Arial"/>
          <w:sz w:val="14"/>
          <w:szCs w:val="14"/>
          <w:lang w:val="en-GB"/>
        </w:rPr>
        <w:t xml:space="preserve"> at the DKFZ, </w:t>
      </w:r>
      <w:r>
        <w:rPr>
          <w:rFonts w:ascii="Arial" w:hAnsi="Arial" w:cs="Arial"/>
          <w:sz w:val="14"/>
          <w:szCs w:val="14"/>
          <w:lang w:val="en-GB"/>
        </w:rPr>
        <w:t xml:space="preserve">and for “Innovation” at her university. She was </w:t>
      </w:r>
      <w:r w:rsidRPr="000E7EC9">
        <w:rPr>
          <w:rFonts w:ascii="Arial" w:hAnsi="Arial" w:cs="Arial"/>
          <w:sz w:val="14"/>
          <w:szCs w:val="14"/>
          <w:lang w:val="en-GB"/>
        </w:rPr>
        <w:t xml:space="preserve">“visiting professor” at the University Palermo, and is currently on a sabbatical at the </w:t>
      </w:r>
      <w:proofErr w:type="gramStart"/>
      <w:r w:rsidRPr="000E7EC9">
        <w:rPr>
          <w:rFonts w:ascii="Arial" w:hAnsi="Arial" w:cs="Arial"/>
          <w:sz w:val="14"/>
          <w:szCs w:val="14"/>
          <w:lang w:val="en-GB"/>
        </w:rPr>
        <w:t>university</w:t>
      </w:r>
      <w:proofErr w:type="gramEnd"/>
      <w:r w:rsidRPr="000E7EC9">
        <w:rPr>
          <w:rFonts w:ascii="Arial" w:hAnsi="Arial" w:cs="Arial"/>
          <w:sz w:val="14"/>
          <w:szCs w:val="14"/>
          <w:lang w:val="en-GB"/>
        </w:rPr>
        <w:t xml:space="preserve"> of Ferrara, Italy. </w:t>
      </w:r>
      <w:r w:rsidRPr="000E7EC9">
        <w:rPr>
          <w:rFonts w:ascii="Arial" w:hAnsi="Arial" w:cs="Arial"/>
          <w:bCs/>
          <w:color w:val="181512"/>
          <w:sz w:val="14"/>
          <w:szCs w:val="14"/>
        </w:rPr>
        <w:t xml:space="preserve">She is a member of the Steering Committee of the Stem Cell Network North Rhine Westphalia. </w:t>
      </w:r>
      <w:r w:rsidRPr="000E7EC9">
        <w:rPr>
          <w:rFonts w:ascii="Arial" w:hAnsi="Arial" w:cs="Arial"/>
          <w:sz w:val="14"/>
          <w:szCs w:val="14"/>
        </w:rPr>
        <w:t xml:space="preserve">Dr. </w:t>
      </w:r>
      <w:proofErr w:type="spellStart"/>
      <w:r w:rsidRPr="000E7EC9">
        <w:rPr>
          <w:rFonts w:ascii="Arial" w:hAnsi="Arial" w:cs="Arial"/>
          <w:sz w:val="14"/>
          <w:szCs w:val="14"/>
        </w:rPr>
        <w:t>Tobiasch</w:t>
      </w:r>
      <w:proofErr w:type="spellEnd"/>
      <w:r w:rsidRPr="000E7EC9">
        <w:rPr>
          <w:rFonts w:ascii="Arial" w:hAnsi="Arial" w:cs="Arial"/>
          <w:sz w:val="14"/>
          <w:szCs w:val="14"/>
        </w:rPr>
        <w:t xml:space="preserve"> leadership includes being a referee for a variety of different journal and funding agency in Europe and worldwide.</w:t>
      </w:r>
      <w:r>
        <w:rPr>
          <w:rFonts w:ascii="Arial"/>
          <w:sz w:val="14"/>
        </w:rPr>
        <w:t xml:space="preserve"> Being interested in signal transduction, she is currently engaged in research and development projects dealing with various adult stem cells and </w:t>
      </w:r>
      <w:proofErr w:type="spellStart"/>
      <w:r>
        <w:rPr>
          <w:rFonts w:ascii="Arial"/>
          <w:sz w:val="14"/>
        </w:rPr>
        <w:t>iPSCs</w:t>
      </w:r>
      <w:proofErr w:type="spellEnd"/>
      <w:r>
        <w:rPr>
          <w:rFonts w:ascii="Arial"/>
          <w:sz w:val="14"/>
        </w:rPr>
        <w:t xml:space="preserve"> for future applications in regenerative medicine with a major focus on bone tissue</w:t>
      </w:r>
      <w:r w:rsidRPr="000E7EC9">
        <w:rPr>
          <w:rFonts w:ascii="Arial" w:hAnsi="Arial" w:cs="Arial"/>
          <w:sz w:val="14"/>
          <w:szCs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926175" w:rsidRPr="00FB18F2">
          <w:rPr>
            <w:rStyle w:val="Collegamentoipertestuale"/>
            <w:rFonts w:ascii="Arial"/>
            <w:sz w:val="14"/>
          </w:rPr>
          <w:t>edda.tobiasch@h-brs.de</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395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51F" w:rsidRDefault="002C451F">
      <w:r>
        <w:separator/>
      </w:r>
    </w:p>
  </w:endnote>
  <w:endnote w:type="continuationSeparator" w:id="0">
    <w:p w:rsidR="002C451F" w:rsidRDefault="002C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51F" w:rsidRDefault="002C451F">
      <w:r>
        <w:separator/>
      </w:r>
    </w:p>
  </w:footnote>
  <w:footnote w:type="continuationSeparator" w:id="0">
    <w:p w:rsidR="002C451F" w:rsidRDefault="002C45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1D4A20"/>
    <w:multiLevelType w:val="hybridMultilevel"/>
    <w:tmpl w:val="B75A9400"/>
    <w:lvl w:ilvl="0" w:tplc="E278AA42">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2C451F"/>
    <w:rsid w:val="00404E5B"/>
    <w:rsid w:val="00414F7B"/>
    <w:rsid w:val="004355DC"/>
    <w:rsid w:val="004357EA"/>
    <w:rsid w:val="004749B4"/>
    <w:rsid w:val="00494130"/>
    <w:rsid w:val="004F3523"/>
    <w:rsid w:val="00591417"/>
    <w:rsid w:val="005973B9"/>
    <w:rsid w:val="005B3A56"/>
    <w:rsid w:val="006060CE"/>
    <w:rsid w:val="0063497F"/>
    <w:rsid w:val="00873DF0"/>
    <w:rsid w:val="008756E6"/>
    <w:rsid w:val="008A08B6"/>
    <w:rsid w:val="00917BBC"/>
    <w:rsid w:val="00926175"/>
    <w:rsid w:val="009B2D44"/>
    <w:rsid w:val="00A07E82"/>
    <w:rsid w:val="00A26EB6"/>
    <w:rsid w:val="00A9710C"/>
    <w:rsid w:val="00AE3E37"/>
    <w:rsid w:val="00B21A57"/>
    <w:rsid w:val="00B43295"/>
    <w:rsid w:val="00C04FC2"/>
    <w:rsid w:val="00C33602"/>
    <w:rsid w:val="00C40C56"/>
    <w:rsid w:val="00C459DC"/>
    <w:rsid w:val="00C57D34"/>
    <w:rsid w:val="00CD6F55"/>
    <w:rsid w:val="00D34E8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2BB1BD-46EE-4829-9EB2-57F2E8058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customStyle="1" w:styleId="jrnl">
    <w:name w:val="jrnl"/>
    <w:basedOn w:val="Carpredefinitoparagrafo"/>
    <w:rsid w:val="00591417"/>
  </w:style>
  <w:style w:type="paragraph" w:styleId="NormaleWeb">
    <w:name w:val="Normal (Web)"/>
    <w:basedOn w:val="Normale"/>
    <w:uiPriority w:val="99"/>
    <w:unhideWhenUsed/>
    <w:rsid w:val="00917BBC"/>
    <w:pPr>
      <w:widowControl/>
      <w:spacing w:before="100" w:beforeAutospacing="1" w:after="100" w:afterAutospacing="1"/>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da.tobiasch@h-brs.de"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Pages>
  <Words>595</Words>
  <Characters>3397</Characters>
  <Application>Microsoft Office Word</Application>
  <DocSecurity>0</DocSecurity>
  <Lines>28</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utente</cp:lastModifiedBy>
  <cp:revision>9</cp:revision>
  <dcterms:created xsi:type="dcterms:W3CDTF">2019-08-30T08:12:00Z</dcterms:created>
  <dcterms:modified xsi:type="dcterms:W3CDTF">2019-08-30T15:09:00Z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