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AAAEB4" w14:textId="77777777" w:rsidR="00CA226D" w:rsidRDefault="00497A89" w:rsidP="00BD7480">
      <w:pPr>
        <w:rPr>
          <w:rFonts w:ascii="Arial" w:hAnsi="Arial" w:cs="Arial"/>
          <w:sz w:val="22"/>
          <w:szCs w:val="22"/>
        </w:rPr>
      </w:pPr>
      <w:r w:rsidRPr="003D194B">
        <w:rPr>
          <w:rFonts w:ascii="Arial" w:hAnsi="Arial" w:cs="Arial"/>
          <w:b/>
          <w:sz w:val="22"/>
          <w:szCs w:val="22"/>
        </w:rPr>
        <w:t>Title</w:t>
      </w:r>
      <w:r w:rsidRPr="003D194B">
        <w:rPr>
          <w:rFonts w:ascii="Arial" w:hAnsi="Arial" w:cs="Arial"/>
          <w:sz w:val="22"/>
          <w:szCs w:val="22"/>
        </w:rPr>
        <w:t xml:space="preserve">: </w:t>
      </w:r>
      <w:bookmarkStart w:id="0" w:name="_GoBack"/>
      <w:bookmarkEnd w:id="0"/>
    </w:p>
    <w:p w14:paraId="6AFD2BB2" w14:textId="77777777" w:rsidR="00CA226D" w:rsidRDefault="00CA226D" w:rsidP="00BD7480">
      <w:pPr>
        <w:rPr>
          <w:rFonts w:ascii="Arial" w:hAnsi="Arial" w:cs="Arial"/>
          <w:sz w:val="22"/>
          <w:szCs w:val="22"/>
        </w:rPr>
      </w:pPr>
    </w:p>
    <w:p w14:paraId="0D8232B2" w14:textId="77777777" w:rsidR="00461FE5" w:rsidRPr="003D194B" w:rsidRDefault="00BD7480" w:rsidP="00BD7480">
      <w:pPr>
        <w:rPr>
          <w:rFonts w:ascii="Arial" w:hAnsi="Arial" w:cs="Arial"/>
          <w:sz w:val="22"/>
          <w:szCs w:val="22"/>
        </w:rPr>
      </w:pPr>
      <w:r w:rsidRPr="003D194B">
        <w:rPr>
          <w:rFonts w:ascii="Arial" w:hAnsi="Arial" w:cs="Arial"/>
          <w:sz w:val="22"/>
          <w:szCs w:val="22"/>
        </w:rPr>
        <w:t xml:space="preserve">Flow </w:t>
      </w:r>
      <w:proofErr w:type="spellStart"/>
      <w:r w:rsidRPr="003D194B">
        <w:rPr>
          <w:rFonts w:ascii="Arial" w:hAnsi="Arial" w:cs="Arial"/>
          <w:sz w:val="22"/>
          <w:szCs w:val="22"/>
        </w:rPr>
        <w:t>Cytometry</w:t>
      </w:r>
      <w:proofErr w:type="spellEnd"/>
      <w:r w:rsidRPr="003D194B">
        <w:rPr>
          <w:rFonts w:ascii="Arial" w:hAnsi="Arial" w:cs="Arial"/>
          <w:sz w:val="22"/>
          <w:szCs w:val="22"/>
        </w:rPr>
        <w:t xml:space="preserve">: A </w:t>
      </w:r>
      <w:r w:rsidR="00CA226D">
        <w:rPr>
          <w:rFonts w:ascii="Arial" w:hAnsi="Arial" w:cs="Arial"/>
          <w:sz w:val="22"/>
          <w:szCs w:val="22"/>
        </w:rPr>
        <w:t xml:space="preserve">Rapid and </w:t>
      </w:r>
      <w:r w:rsidR="00542C0C">
        <w:rPr>
          <w:rFonts w:ascii="Arial" w:hAnsi="Arial" w:cs="Arial"/>
          <w:sz w:val="22"/>
          <w:szCs w:val="22"/>
        </w:rPr>
        <w:t>Versatile</w:t>
      </w:r>
      <w:r w:rsidR="00CA226D">
        <w:rPr>
          <w:rFonts w:ascii="Arial" w:hAnsi="Arial" w:cs="Arial"/>
          <w:sz w:val="22"/>
          <w:szCs w:val="22"/>
        </w:rPr>
        <w:t xml:space="preserve"> Diagnostic </w:t>
      </w:r>
      <w:r w:rsidRPr="003D194B">
        <w:rPr>
          <w:rFonts w:ascii="Arial" w:hAnsi="Arial" w:cs="Arial"/>
          <w:sz w:val="22"/>
          <w:szCs w:val="22"/>
        </w:rPr>
        <w:t>Tool for</w:t>
      </w:r>
      <w:r w:rsidR="00CA226D">
        <w:rPr>
          <w:rFonts w:ascii="Arial" w:hAnsi="Arial" w:cs="Arial"/>
          <w:sz w:val="22"/>
          <w:szCs w:val="22"/>
        </w:rPr>
        <w:t xml:space="preserve"> </w:t>
      </w:r>
      <w:r w:rsidRPr="003D194B">
        <w:rPr>
          <w:rFonts w:ascii="Arial" w:hAnsi="Arial" w:cs="Arial"/>
          <w:sz w:val="22"/>
          <w:szCs w:val="22"/>
        </w:rPr>
        <w:t>Immunodeficiency</w:t>
      </w:r>
      <w:r w:rsidR="00CA226D">
        <w:rPr>
          <w:rFonts w:ascii="Arial" w:hAnsi="Arial" w:cs="Arial"/>
          <w:sz w:val="22"/>
          <w:szCs w:val="22"/>
        </w:rPr>
        <w:t xml:space="preserve"> </w:t>
      </w:r>
      <w:r w:rsidRPr="003D194B">
        <w:rPr>
          <w:rFonts w:ascii="Arial" w:hAnsi="Arial" w:cs="Arial"/>
          <w:sz w:val="22"/>
          <w:szCs w:val="22"/>
        </w:rPr>
        <w:t xml:space="preserve">and </w:t>
      </w:r>
      <w:proofErr w:type="spellStart"/>
      <w:r w:rsidRPr="003D194B">
        <w:rPr>
          <w:rFonts w:ascii="Arial" w:hAnsi="Arial" w:cs="Arial"/>
          <w:sz w:val="22"/>
          <w:szCs w:val="22"/>
        </w:rPr>
        <w:t>Neuro</w:t>
      </w:r>
      <w:proofErr w:type="spellEnd"/>
      <w:r w:rsidR="00CA226D">
        <w:rPr>
          <w:rFonts w:ascii="Arial" w:hAnsi="Arial" w:cs="Arial"/>
          <w:sz w:val="22"/>
          <w:szCs w:val="22"/>
        </w:rPr>
        <w:t>-</w:t>
      </w:r>
      <w:r w:rsidR="004F18B1">
        <w:rPr>
          <w:rFonts w:ascii="Arial" w:hAnsi="Arial" w:cs="Arial"/>
          <w:sz w:val="22"/>
          <w:szCs w:val="22"/>
        </w:rPr>
        <w:t>immunological</w:t>
      </w:r>
      <w:r w:rsidRPr="003D194B">
        <w:rPr>
          <w:rFonts w:ascii="Arial" w:hAnsi="Arial" w:cs="Arial"/>
          <w:sz w:val="22"/>
          <w:szCs w:val="22"/>
        </w:rPr>
        <w:t xml:space="preserve"> Diseases</w:t>
      </w:r>
    </w:p>
    <w:p w14:paraId="56DF80D9" w14:textId="77777777" w:rsidR="00BD7480" w:rsidRPr="003D194B" w:rsidRDefault="00BD7480" w:rsidP="00BD7480">
      <w:pPr>
        <w:rPr>
          <w:rFonts w:ascii="Arial" w:hAnsi="Arial" w:cs="Arial"/>
          <w:sz w:val="22"/>
          <w:szCs w:val="22"/>
        </w:rPr>
      </w:pPr>
    </w:p>
    <w:p w14:paraId="575EE8C9" w14:textId="77777777" w:rsidR="00DA3CF9" w:rsidRPr="003D194B" w:rsidRDefault="003D194B" w:rsidP="00DA3CF9">
      <w:pPr>
        <w:jc w:val="both"/>
        <w:rPr>
          <w:rFonts w:ascii="Arial" w:hAnsi="Arial" w:cs="Arial"/>
          <w:sz w:val="22"/>
          <w:szCs w:val="22"/>
        </w:rPr>
      </w:pPr>
      <w:r w:rsidRPr="003D194B">
        <w:rPr>
          <w:rFonts w:ascii="Arial" w:hAnsi="Arial" w:cs="Arial"/>
          <w:b/>
          <w:sz w:val="22"/>
          <w:szCs w:val="22"/>
        </w:rPr>
        <w:t>Abstract</w:t>
      </w:r>
      <w:r>
        <w:rPr>
          <w:rFonts w:ascii="Arial" w:hAnsi="Arial" w:cs="Arial"/>
          <w:sz w:val="22"/>
          <w:szCs w:val="22"/>
        </w:rPr>
        <w:t xml:space="preserve">: </w:t>
      </w:r>
      <w:r w:rsidR="00BD7480" w:rsidRPr="003D194B">
        <w:rPr>
          <w:rFonts w:ascii="Arial" w:hAnsi="Arial" w:cs="Arial"/>
          <w:sz w:val="22"/>
          <w:szCs w:val="22"/>
        </w:rPr>
        <w:t xml:space="preserve">Primary immunodeficiency disorders (PIDs) are a heterogeneous group of inherited disorders of the immune system. The use of flow </w:t>
      </w:r>
      <w:proofErr w:type="spellStart"/>
      <w:r w:rsidR="00BD7480" w:rsidRPr="003D194B">
        <w:rPr>
          <w:rFonts w:ascii="Arial" w:hAnsi="Arial" w:cs="Arial"/>
          <w:sz w:val="22"/>
          <w:szCs w:val="22"/>
        </w:rPr>
        <w:t>cytometry</w:t>
      </w:r>
      <w:proofErr w:type="spellEnd"/>
      <w:r w:rsidR="00BD7480" w:rsidRPr="003D194B">
        <w:rPr>
          <w:rFonts w:ascii="Arial" w:hAnsi="Arial" w:cs="Arial"/>
          <w:sz w:val="22"/>
          <w:szCs w:val="22"/>
        </w:rPr>
        <w:t xml:space="preserve"> has emerged as a very useful laboratory tool in evaluating patients with potential PIDs. Flow </w:t>
      </w:r>
      <w:proofErr w:type="spellStart"/>
      <w:r w:rsidR="00BD7480" w:rsidRPr="003D194B">
        <w:rPr>
          <w:rFonts w:ascii="Arial" w:hAnsi="Arial" w:cs="Arial"/>
          <w:sz w:val="22"/>
          <w:szCs w:val="22"/>
        </w:rPr>
        <w:t>cytometric</w:t>
      </w:r>
      <w:proofErr w:type="spellEnd"/>
      <w:r w:rsidR="00BD7480" w:rsidRPr="003D194B">
        <w:rPr>
          <w:rFonts w:ascii="Arial" w:hAnsi="Arial" w:cs="Arial"/>
          <w:sz w:val="22"/>
          <w:szCs w:val="22"/>
        </w:rPr>
        <w:t xml:space="preserve"> assays range from qualitative to quantitative (relative and absolute) and </w:t>
      </w:r>
      <w:proofErr w:type="spellStart"/>
      <w:r w:rsidR="00BD7480" w:rsidRPr="003D194B">
        <w:rPr>
          <w:rFonts w:ascii="Arial" w:hAnsi="Arial" w:cs="Arial"/>
          <w:sz w:val="22"/>
          <w:szCs w:val="22"/>
        </w:rPr>
        <w:t>phenotyping</w:t>
      </w:r>
      <w:proofErr w:type="spellEnd"/>
      <w:r w:rsidR="00BD7480" w:rsidRPr="003D194B">
        <w:rPr>
          <w:rFonts w:ascii="Arial" w:hAnsi="Arial" w:cs="Arial"/>
          <w:sz w:val="22"/>
          <w:szCs w:val="22"/>
        </w:rPr>
        <w:t xml:space="preserve"> to functional, besides being useful for assessing specific pr</w:t>
      </w:r>
      <w:r w:rsidR="00CA226D">
        <w:rPr>
          <w:rFonts w:ascii="Arial" w:hAnsi="Arial" w:cs="Arial"/>
          <w:sz w:val="22"/>
          <w:szCs w:val="22"/>
        </w:rPr>
        <w:t>otein expression</w:t>
      </w:r>
      <w:r w:rsidR="00BD7480" w:rsidRPr="003D194B">
        <w:rPr>
          <w:rFonts w:ascii="Arial" w:hAnsi="Arial" w:cs="Arial"/>
          <w:sz w:val="22"/>
          <w:szCs w:val="22"/>
        </w:rPr>
        <w:t>, apoptosis and death, cellular interactions and cell enrichment.</w:t>
      </w:r>
      <w:r w:rsidR="00DA3CF9" w:rsidRPr="003D194B">
        <w:rPr>
          <w:rFonts w:ascii="Arial" w:hAnsi="Arial" w:cs="Arial"/>
          <w:sz w:val="22"/>
          <w:szCs w:val="22"/>
        </w:rPr>
        <w:t xml:space="preserve"> These characteristics make it an ideal diagnostic tool for other diseases such as </w:t>
      </w:r>
      <w:proofErr w:type="spellStart"/>
      <w:r w:rsidR="00DA3CF9" w:rsidRPr="003D194B">
        <w:rPr>
          <w:rFonts w:ascii="Arial" w:hAnsi="Arial" w:cs="Arial"/>
          <w:sz w:val="22"/>
          <w:szCs w:val="22"/>
        </w:rPr>
        <w:t>neuromyelitis</w:t>
      </w:r>
      <w:proofErr w:type="spellEnd"/>
      <w:r w:rsidR="00DA3CF9" w:rsidRPr="003D194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A3CF9" w:rsidRPr="003D194B">
        <w:rPr>
          <w:rFonts w:ascii="Arial" w:hAnsi="Arial" w:cs="Arial"/>
          <w:sz w:val="22"/>
          <w:szCs w:val="22"/>
        </w:rPr>
        <w:t>optica</w:t>
      </w:r>
      <w:proofErr w:type="spellEnd"/>
      <w:r w:rsidR="00DA3CF9" w:rsidRPr="003D194B">
        <w:rPr>
          <w:rFonts w:ascii="Arial" w:hAnsi="Arial" w:cs="Arial"/>
          <w:sz w:val="22"/>
          <w:szCs w:val="22"/>
        </w:rPr>
        <w:t xml:space="preserve"> (NMO). </w:t>
      </w:r>
    </w:p>
    <w:p w14:paraId="6F154CB2" w14:textId="77777777" w:rsidR="004F18B1" w:rsidRDefault="004F18B1" w:rsidP="00DA3CF9">
      <w:pPr>
        <w:jc w:val="both"/>
        <w:rPr>
          <w:rFonts w:ascii="Arial" w:hAnsi="Arial" w:cs="Arial"/>
          <w:sz w:val="22"/>
          <w:szCs w:val="22"/>
        </w:rPr>
      </w:pPr>
    </w:p>
    <w:p w14:paraId="1F2C352A" w14:textId="77777777" w:rsidR="00BD7480" w:rsidRPr="003D194B" w:rsidRDefault="00DA3CF9" w:rsidP="00DA3CF9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3D194B">
        <w:rPr>
          <w:rFonts w:ascii="Arial" w:hAnsi="Arial" w:cs="Arial"/>
          <w:sz w:val="22"/>
          <w:szCs w:val="22"/>
        </w:rPr>
        <w:t>Neuromyelitis</w:t>
      </w:r>
      <w:proofErr w:type="spellEnd"/>
      <w:r w:rsidRPr="003D194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3D194B">
        <w:rPr>
          <w:rFonts w:ascii="Arial" w:hAnsi="Arial" w:cs="Arial"/>
          <w:sz w:val="22"/>
          <w:szCs w:val="22"/>
        </w:rPr>
        <w:t>optica</w:t>
      </w:r>
      <w:proofErr w:type="spellEnd"/>
      <w:r w:rsidRPr="003D194B">
        <w:rPr>
          <w:rFonts w:ascii="Arial" w:hAnsi="Arial" w:cs="Arial"/>
          <w:sz w:val="22"/>
          <w:szCs w:val="22"/>
        </w:rPr>
        <w:t xml:space="preserve"> (NMO) immunoglobulin G (</w:t>
      </w:r>
      <w:proofErr w:type="spellStart"/>
      <w:r w:rsidRPr="003D194B">
        <w:rPr>
          <w:rFonts w:ascii="Arial" w:hAnsi="Arial" w:cs="Arial"/>
          <w:sz w:val="22"/>
          <w:szCs w:val="22"/>
        </w:rPr>
        <w:t>IgG</w:t>
      </w:r>
      <w:proofErr w:type="spellEnd"/>
      <w:r w:rsidRPr="003D194B">
        <w:rPr>
          <w:rFonts w:ascii="Arial" w:hAnsi="Arial" w:cs="Arial"/>
          <w:sz w:val="22"/>
          <w:szCs w:val="22"/>
        </w:rPr>
        <w:t xml:space="preserve">) (aquaporin-4 [AQP4] </w:t>
      </w:r>
      <w:proofErr w:type="spellStart"/>
      <w:r w:rsidRPr="003D194B">
        <w:rPr>
          <w:rFonts w:ascii="Arial" w:hAnsi="Arial" w:cs="Arial"/>
          <w:sz w:val="22"/>
          <w:szCs w:val="22"/>
        </w:rPr>
        <w:t>IgG</w:t>
      </w:r>
      <w:proofErr w:type="spellEnd"/>
      <w:r w:rsidRPr="003D194B">
        <w:rPr>
          <w:rFonts w:ascii="Arial" w:hAnsi="Arial" w:cs="Arial"/>
          <w:sz w:val="22"/>
          <w:szCs w:val="22"/>
        </w:rPr>
        <w:t xml:space="preserve">) is highly specific for NMO and related disorders, and autoantibody detection has become an essential investigation in patients with demyelinating disease. As disability in NMO is attack-related, flow </w:t>
      </w:r>
      <w:proofErr w:type="spellStart"/>
      <w:r w:rsidRPr="003D194B">
        <w:rPr>
          <w:rFonts w:ascii="Arial" w:hAnsi="Arial" w:cs="Arial"/>
          <w:sz w:val="22"/>
          <w:szCs w:val="22"/>
        </w:rPr>
        <w:t>cytometry</w:t>
      </w:r>
      <w:proofErr w:type="spellEnd"/>
      <w:r w:rsidRPr="003D194B">
        <w:rPr>
          <w:rFonts w:ascii="Arial" w:hAnsi="Arial" w:cs="Arial"/>
          <w:sz w:val="22"/>
          <w:szCs w:val="22"/>
        </w:rPr>
        <w:t xml:space="preserve"> </w:t>
      </w:r>
      <w:r w:rsidR="0059459A" w:rsidRPr="003D194B">
        <w:rPr>
          <w:rFonts w:ascii="Arial" w:hAnsi="Arial" w:cs="Arial"/>
          <w:sz w:val="22"/>
          <w:szCs w:val="22"/>
        </w:rPr>
        <w:t>provides a sensitive and spe</w:t>
      </w:r>
      <w:r w:rsidR="00CA226D">
        <w:rPr>
          <w:rFonts w:ascii="Arial" w:hAnsi="Arial" w:cs="Arial"/>
          <w:sz w:val="22"/>
          <w:szCs w:val="22"/>
        </w:rPr>
        <w:t xml:space="preserve">cific assay to detect AQP4-IgG, </w:t>
      </w:r>
      <w:r w:rsidR="00542C0C">
        <w:rPr>
          <w:rFonts w:ascii="Arial" w:hAnsi="Arial" w:cs="Arial"/>
          <w:sz w:val="22"/>
          <w:szCs w:val="22"/>
        </w:rPr>
        <w:t xml:space="preserve">which helps in early </w:t>
      </w:r>
      <w:r w:rsidR="00542C0C" w:rsidRPr="00542C0C">
        <w:rPr>
          <w:rFonts w:ascii="Arial" w:hAnsi="Arial" w:cs="Arial"/>
          <w:sz w:val="22"/>
          <w:szCs w:val="22"/>
        </w:rPr>
        <w:t xml:space="preserve">diagnosis and </w:t>
      </w:r>
      <w:r w:rsidR="00542C0C">
        <w:rPr>
          <w:rFonts w:ascii="Arial" w:hAnsi="Arial" w:cs="Arial"/>
          <w:sz w:val="22"/>
          <w:szCs w:val="22"/>
        </w:rPr>
        <w:t xml:space="preserve">treatment of the disease. </w:t>
      </w:r>
    </w:p>
    <w:sectPr w:rsidR="00BD7480" w:rsidRPr="003D194B" w:rsidSect="008C1E22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E1B"/>
    <w:rsid w:val="000E7E1B"/>
    <w:rsid w:val="0017373B"/>
    <w:rsid w:val="003D194B"/>
    <w:rsid w:val="00461FE5"/>
    <w:rsid w:val="00497A89"/>
    <w:rsid w:val="004F18B1"/>
    <w:rsid w:val="00542C0C"/>
    <w:rsid w:val="0059459A"/>
    <w:rsid w:val="006F0207"/>
    <w:rsid w:val="008C1E22"/>
    <w:rsid w:val="00BD7480"/>
    <w:rsid w:val="00CA1E08"/>
    <w:rsid w:val="00CA226D"/>
    <w:rsid w:val="00DA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AB0DFE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E1B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E7E1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E1B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E7E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6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8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5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1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883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3001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63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124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339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1465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475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167</Words>
  <Characters>953</Characters>
  <Application>Microsoft Macintosh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zarina zainudeen</dc:creator>
  <cp:keywords/>
  <dc:description/>
  <cp:lastModifiedBy>zarina zainudeen</cp:lastModifiedBy>
  <cp:revision>2</cp:revision>
  <dcterms:created xsi:type="dcterms:W3CDTF">2018-11-13T06:57:00Z</dcterms:created>
  <dcterms:modified xsi:type="dcterms:W3CDTF">2018-11-14T15:55:00Z</dcterms:modified>
</cp:coreProperties>
</file>